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AD2F88">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AD2F88">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BD16AD" w:rsidP="00BD16AD">
            <w:pPr>
              <w:rPr>
                <w:b/>
              </w:rPr>
            </w:pPr>
            <w:r>
              <w:rPr>
                <w:rStyle w:val="Firstpagetablebold"/>
              </w:rPr>
              <w:t>13</w:t>
            </w:r>
            <w:r w:rsidR="00DF391F">
              <w:rPr>
                <w:rStyle w:val="Firstpagetablebold"/>
              </w:rPr>
              <w:t xml:space="preserve"> </w:t>
            </w:r>
            <w:r>
              <w:rPr>
                <w:rStyle w:val="Firstpagetablebold"/>
              </w:rPr>
              <w:t>June</w:t>
            </w:r>
            <w:r w:rsidR="00D43C35">
              <w:rPr>
                <w:rStyle w:val="Firstpagetablebold"/>
              </w:rPr>
              <w:t xml:space="preserve"> </w:t>
            </w:r>
            <w:r w:rsidR="00964356">
              <w:rPr>
                <w:rStyle w:val="Firstpagetablebold"/>
              </w:rPr>
              <w:t>201</w:t>
            </w:r>
            <w:r w:rsidR="00D43C35">
              <w:rPr>
                <w:rStyle w:val="Firstpagetablebold"/>
              </w:rPr>
              <w:t>8</w:t>
            </w:r>
          </w:p>
        </w:tc>
      </w:tr>
      <w:tr w:rsidR="00CE544A" w:rsidRPr="00975B07" w:rsidTr="00AD2F88">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964356" w:rsidP="00964356">
            <w:pPr>
              <w:rPr>
                <w:rStyle w:val="Firstpagetablebold"/>
              </w:rPr>
            </w:pPr>
            <w:r>
              <w:rPr>
                <w:rStyle w:val="Firstpagetablebold"/>
              </w:rPr>
              <w:t>Head of Housing Services</w:t>
            </w:r>
          </w:p>
        </w:tc>
      </w:tr>
      <w:tr w:rsidR="00CE544A" w:rsidRPr="00975B07" w:rsidTr="00AD2F88">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964356" w:rsidP="00D43C35">
            <w:pPr>
              <w:rPr>
                <w:rStyle w:val="Firstpagetablebold"/>
              </w:rPr>
            </w:pPr>
            <w:r>
              <w:rPr>
                <w:rStyle w:val="Firstpagetablebold"/>
              </w:rPr>
              <w:t xml:space="preserve">Draft </w:t>
            </w:r>
            <w:r w:rsidR="00D43C35">
              <w:rPr>
                <w:rStyle w:val="Firstpagetablebold"/>
              </w:rPr>
              <w:t>Tenancy</w:t>
            </w:r>
            <w:r>
              <w:rPr>
                <w:rStyle w:val="Firstpagetablebold"/>
              </w:rPr>
              <w:t xml:space="preserve"> Strategy </w:t>
            </w:r>
            <w:r w:rsidR="00D43C35">
              <w:rPr>
                <w:rStyle w:val="Firstpagetablebold"/>
              </w:rPr>
              <w:t xml:space="preserve">and Tenancy Policy </w:t>
            </w:r>
            <w:r>
              <w:rPr>
                <w:rStyle w:val="Firstpagetablebold"/>
              </w:rPr>
              <w:t>2018-</w:t>
            </w:r>
            <w:r w:rsidR="00D90B4E">
              <w:rPr>
                <w:rStyle w:val="Firstpagetablebold"/>
              </w:rPr>
              <w:t>20</w:t>
            </w:r>
            <w:r>
              <w:rPr>
                <w:rStyle w:val="Firstpagetablebold"/>
              </w:rPr>
              <w:t>2</w:t>
            </w:r>
            <w:r w:rsidR="00DF391F">
              <w:rPr>
                <w:rStyle w:val="Firstpagetablebold"/>
              </w:rPr>
              <w:t>3</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964356" w:rsidP="00EF16D8">
            <w:r>
              <w:t xml:space="preserve">To </w:t>
            </w:r>
            <w:r w:rsidR="00EF16D8" w:rsidRPr="00EF16D8">
              <w:t xml:space="preserve">request the City Executive Board to recommend to Council, approval of the amended Draft Tenancy Strategy and Tenancy Policy 2018-23 (and associated appendices) following a </w:t>
            </w:r>
            <w:r w:rsidR="00EF16D8">
              <w:t xml:space="preserve">4 week </w:t>
            </w:r>
            <w:r w:rsidR="00EF16D8" w:rsidRPr="00EF16D8">
              <w:t xml:space="preserve">period of </w:t>
            </w:r>
            <w:r w:rsidR="00EF16D8">
              <w:t xml:space="preserve">public </w:t>
            </w:r>
            <w:r w:rsidR="00EF16D8" w:rsidRPr="00EF16D8">
              <w:t>consultation.</w:t>
            </w:r>
            <w:r>
              <w:t xml:space="preserve">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964356">
            <w:r w:rsidRPr="001356F1">
              <w:t xml:space="preserve">Yes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A7057C">
            <w:r w:rsidRPr="001356F1">
              <w:t xml:space="preserve">Councillor </w:t>
            </w:r>
            <w:r w:rsidR="00964356">
              <w:t xml:space="preserve">Mike Rowley, </w:t>
            </w:r>
            <w:bookmarkStart w:id="0" w:name="_GoBack"/>
            <w:bookmarkEnd w:id="0"/>
            <w:r w:rsidR="00964356">
              <w:t>Housing</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E459E" w:rsidP="007E459E">
            <w:r>
              <w:t>Meeting Housing Needs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90B4E" w:rsidRDefault="00D90B4E" w:rsidP="007E459E">
            <w:r>
              <w:t xml:space="preserve">Housing and Homelessness Strategy 2018-21 </w:t>
            </w:r>
          </w:p>
          <w:p w:rsidR="00D5547E" w:rsidRPr="001356F1" w:rsidRDefault="00D43C35" w:rsidP="007E459E">
            <w:r>
              <w:t>Tenancy</w:t>
            </w:r>
            <w:r w:rsidR="007E459E">
              <w:t xml:space="preserve"> Strategy</w:t>
            </w:r>
            <w:r>
              <w:t xml:space="preserve"> and Policy Statement 2013</w:t>
            </w:r>
            <w:r w:rsidR="007E459E">
              <w:t>-18</w:t>
            </w:r>
            <w:r w:rsidR="00D5547E" w:rsidRPr="001356F1">
              <w:t>.</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295610" w:rsidP="00295610">
            <w:proofErr w:type="spellStart"/>
            <w:r>
              <w:rPr>
                <w:rStyle w:val="Firstpagetablebold"/>
              </w:rPr>
              <w:t>Recommendation</w:t>
            </w:r>
            <w:r w:rsidR="005F7F7E">
              <w:rPr>
                <w:rStyle w:val="Firstpagetablebold"/>
              </w:rPr>
              <w:t>s:</w:t>
            </w:r>
            <w:r w:rsidR="005F7F7E" w:rsidRPr="00295610">
              <w:rPr>
                <w:rStyle w:val="Firstpagetablebold"/>
                <w:b w:val="0"/>
              </w:rPr>
              <w:t>That</w:t>
            </w:r>
            <w:proofErr w:type="spellEnd"/>
            <w:r w:rsidR="005F7F7E" w:rsidRPr="00295610">
              <w:rPr>
                <w:rStyle w:val="Firstpagetablebold"/>
                <w:b w:val="0"/>
              </w:rPr>
              <w:t xml:space="preserve"> the City Executive Board resolves to:</w:t>
            </w:r>
          </w:p>
        </w:tc>
      </w:tr>
      <w:tr w:rsidR="00266118" w:rsidRPr="00975B07" w:rsidTr="002661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266118" w:rsidRPr="00975B07" w:rsidRDefault="00266118" w:rsidP="004A6D2F">
            <w:r w:rsidRPr="00975B07">
              <w:t>1.</w:t>
            </w:r>
          </w:p>
        </w:tc>
        <w:tc>
          <w:tcPr>
            <w:tcW w:w="8419" w:type="dxa"/>
            <w:gridSpan w:val="2"/>
            <w:vMerge w:val="restart"/>
            <w:tcBorders>
              <w:top w:val="single" w:sz="8" w:space="0" w:color="000000"/>
              <w:left w:val="nil"/>
              <w:right w:val="single" w:sz="8" w:space="0" w:color="000000"/>
            </w:tcBorders>
            <w:shd w:val="clear" w:color="auto" w:fill="auto"/>
          </w:tcPr>
          <w:p w:rsidR="003F417A" w:rsidRDefault="00295610" w:rsidP="00AF2927">
            <w:pPr>
              <w:spacing w:after="0"/>
            </w:pPr>
            <w:r>
              <w:rPr>
                <w:rStyle w:val="Firstpagetablebold"/>
              </w:rPr>
              <w:t>N</w:t>
            </w:r>
            <w:r w:rsidR="003F417A">
              <w:rPr>
                <w:rStyle w:val="Firstpagetablebold"/>
              </w:rPr>
              <w:t>ote</w:t>
            </w:r>
            <w:r w:rsidR="00980E98">
              <w:t xml:space="preserve"> the</w:t>
            </w:r>
            <w:r w:rsidR="003F417A">
              <w:t xml:space="preserve"> amendments made to the</w:t>
            </w:r>
            <w:r w:rsidR="00980E98">
              <w:t xml:space="preserve"> </w:t>
            </w:r>
            <w:r w:rsidR="003F417A">
              <w:t>d</w:t>
            </w:r>
            <w:r w:rsidR="00980E98">
              <w:t xml:space="preserve">raft </w:t>
            </w:r>
            <w:r w:rsidR="00D43C35">
              <w:t>Tenancy</w:t>
            </w:r>
            <w:r w:rsidR="00980E98">
              <w:t xml:space="preserve"> Strategy</w:t>
            </w:r>
            <w:r w:rsidR="00D43C35">
              <w:t xml:space="preserve"> and Tenancy Policy</w:t>
            </w:r>
            <w:r w:rsidR="00DF391F">
              <w:t xml:space="preserve"> 2018-23</w:t>
            </w:r>
            <w:r w:rsidR="00D90B4E">
              <w:t xml:space="preserve"> </w:t>
            </w:r>
            <w:r w:rsidR="006D1EC8">
              <w:t xml:space="preserve">(and associated appendices) </w:t>
            </w:r>
            <w:r w:rsidR="003F417A">
              <w:t>in response to feedback from public consultation</w:t>
            </w:r>
            <w:r>
              <w:t xml:space="preserve">; and </w:t>
            </w:r>
            <w:r w:rsidR="006D1EC8">
              <w:t xml:space="preserve"> </w:t>
            </w:r>
          </w:p>
          <w:p w:rsidR="00AF2927" w:rsidRDefault="00AF2927" w:rsidP="00AF2927">
            <w:pPr>
              <w:spacing w:after="0"/>
            </w:pPr>
          </w:p>
          <w:p w:rsidR="00AF2927" w:rsidRPr="001356F1" w:rsidRDefault="00295610" w:rsidP="002E0FEC">
            <w:r>
              <w:rPr>
                <w:b/>
              </w:rPr>
              <w:t>R</w:t>
            </w:r>
            <w:r w:rsidR="00EF16D8" w:rsidRPr="00AF2927">
              <w:rPr>
                <w:b/>
              </w:rPr>
              <w:t>ecommend</w:t>
            </w:r>
            <w:r w:rsidR="00EF16D8" w:rsidRPr="00EF16D8">
              <w:t xml:space="preserve"> to Council, approval of the amended Draft Tenancy Strategy and Tenancy Policy 2018-23 (and associated appendices)</w:t>
            </w:r>
            <w:r w:rsidR="003F417A">
              <w:t>.</w:t>
            </w:r>
          </w:p>
        </w:tc>
      </w:tr>
      <w:tr w:rsidR="00266118" w:rsidRPr="00975B07" w:rsidTr="002661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266118" w:rsidRDefault="00266118" w:rsidP="004A6D2F"/>
          <w:p w:rsidR="003F417A" w:rsidRDefault="003F417A" w:rsidP="004A6D2F"/>
          <w:p w:rsidR="00980E98" w:rsidRPr="00975B07" w:rsidRDefault="003F417A" w:rsidP="004A6D2F">
            <w:r>
              <w:t xml:space="preserve">2. </w:t>
            </w:r>
          </w:p>
        </w:tc>
        <w:tc>
          <w:tcPr>
            <w:tcW w:w="8419" w:type="dxa"/>
            <w:gridSpan w:val="2"/>
            <w:vMerge/>
            <w:tcBorders>
              <w:left w:val="nil"/>
              <w:right w:val="single" w:sz="8" w:space="0" w:color="000000"/>
            </w:tcBorders>
            <w:shd w:val="clear" w:color="auto" w:fill="auto"/>
          </w:tcPr>
          <w:p w:rsidR="00266118" w:rsidRPr="001356F1" w:rsidRDefault="00266118" w:rsidP="002069B3"/>
        </w:tc>
      </w:tr>
      <w:tr w:rsidR="00966D42" w:rsidRPr="00975B07" w:rsidTr="006D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6D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7" w:type="dxa"/>
            <w:tcBorders>
              <w:top w:val="single" w:sz="8" w:space="0" w:color="000000"/>
              <w:left w:val="nil"/>
              <w:bottom w:val="nil"/>
              <w:right w:val="single" w:sz="8" w:space="0" w:color="000000"/>
            </w:tcBorders>
          </w:tcPr>
          <w:p w:rsidR="007E459E" w:rsidRDefault="007E459E" w:rsidP="007E459E">
            <w:r>
              <w:t xml:space="preserve">Draft </w:t>
            </w:r>
            <w:r w:rsidR="00AB52CD">
              <w:t>Tenancy</w:t>
            </w:r>
            <w:r w:rsidR="00EB3B07">
              <w:t xml:space="preserve"> Strategy 2018-23</w:t>
            </w:r>
            <w:r>
              <w:t xml:space="preserve"> with sub appendices:</w:t>
            </w:r>
          </w:p>
          <w:p w:rsidR="007E459E" w:rsidRDefault="007E459E" w:rsidP="007E459E">
            <w:r>
              <w:t xml:space="preserve">A = </w:t>
            </w:r>
            <w:r w:rsidR="00AB52CD">
              <w:t>Tenancy Policy</w:t>
            </w:r>
            <w:r>
              <w:t xml:space="preserve">; </w:t>
            </w:r>
          </w:p>
          <w:p w:rsidR="00EB3B07" w:rsidRDefault="007E459E" w:rsidP="007E459E">
            <w:r>
              <w:t xml:space="preserve">B = </w:t>
            </w:r>
            <w:r w:rsidR="00EB3B07" w:rsidRPr="00EB3B07">
              <w:t>Legislative requirements and changes</w:t>
            </w:r>
            <w:r w:rsidR="004335C7">
              <w:t>;</w:t>
            </w:r>
          </w:p>
          <w:p w:rsidR="00EB3B07" w:rsidRDefault="00EB3B07" w:rsidP="007E459E">
            <w:r>
              <w:t xml:space="preserve">C = </w:t>
            </w:r>
            <w:r w:rsidRPr="00EB3B07">
              <w:t>Oxford city context</w:t>
            </w:r>
            <w:r w:rsidR="004335C7">
              <w:t>;</w:t>
            </w:r>
          </w:p>
          <w:p w:rsidR="00ED5860" w:rsidRPr="001356F1" w:rsidRDefault="00EB3B07" w:rsidP="004335C7">
            <w:r>
              <w:t xml:space="preserve">D = </w:t>
            </w:r>
            <w:r w:rsidR="006D1EC8" w:rsidRPr="00137D1B">
              <w:t>Flexible Fixed Term Tenancies (FFTT), how will they potentially work in Oxford?</w:t>
            </w:r>
            <w:r w:rsidR="007E459E">
              <w:t xml:space="preserve"> </w:t>
            </w:r>
          </w:p>
        </w:tc>
      </w:tr>
      <w:tr w:rsidR="00ED5860" w:rsidRPr="00975B07" w:rsidTr="006D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7" w:type="dxa"/>
            <w:tcBorders>
              <w:top w:val="nil"/>
              <w:left w:val="nil"/>
              <w:bottom w:val="nil"/>
              <w:right w:val="single" w:sz="8" w:space="0" w:color="000000"/>
            </w:tcBorders>
          </w:tcPr>
          <w:p w:rsidR="00ED5860" w:rsidRPr="001356F1" w:rsidRDefault="007E459E" w:rsidP="004A6D2F">
            <w:r>
              <w:t xml:space="preserve">Initial Equality Impact Assessment </w:t>
            </w:r>
          </w:p>
        </w:tc>
      </w:tr>
      <w:tr w:rsidR="0030208D" w:rsidRPr="00975B07" w:rsidTr="006D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7" w:type="dxa"/>
            <w:tcBorders>
              <w:top w:val="nil"/>
              <w:left w:val="nil"/>
              <w:bottom w:val="nil"/>
              <w:right w:val="single" w:sz="8" w:space="0" w:color="000000"/>
            </w:tcBorders>
          </w:tcPr>
          <w:p w:rsidR="0030208D" w:rsidRPr="001356F1" w:rsidRDefault="007E459E" w:rsidP="007E459E">
            <w:r>
              <w:t>Risk Register</w:t>
            </w:r>
          </w:p>
        </w:tc>
      </w:tr>
      <w:tr w:rsidR="0030208D" w:rsidRPr="00975B07" w:rsidTr="006D1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rsidR="0030208D" w:rsidRPr="00975B07" w:rsidRDefault="00051DB4" w:rsidP="004A6D2F">
            <w:r>
              <w:t>Appendix 4</w:t>
            </w:r>
          </w:p>
        </w:tc>
        <w:tc>
          <w:tcPr>
            <w:tcW w:w="6407" w:type="dxa"/>
            <w:tcBorders>
              <w:top w:val="nil"/>
              <w:left w:val="nil"/>
              <w:bottom w:val="single" w:sz="8" w:space="0" w:color="000000"/>
              <w:right w:val="single" w:sz="8" w:space="0" w:color="000000"/>
            </w:tcBorders>
          </w:tcPr>
          <w:p w:rsidR="00051DB4" w:rsidRDefault="00051DB4" w:rsidP="00051DB4">
            <w:r>
              <w:t xml:space="preserve">Draft Tenancy Strategy and Tenancy Policy 2018-2023 </w:t>
            </w:r>
          </w:p>
          <w:p w:rsidR="0030208D" w:rsidRPr="001356F1" w:rsidRDefault="00051DB4" w:rsidP="00051DB4">
            <w:r>
              <w:t>Consultation Feedback</w:t>
            </w:r>
          </w:p>
        </w:tc>
      </w:tr>
    </w:tbl>
    <w:p w:rsidR="004335C7" w:rsidRDefault="004335C7" w:rsidP="004A6D2F">
      <w:pPr>
        <w:pStyle w:val="Heading1"/>
      </w:pPr>
    </w:p>
    <w:p w:rsidR="0040736F" w:rsidRPr="001356F1" w:rsidRDefault="00F66DCA" w:rsidP="004A6D2F">
      <w:pPr>
        <w:pStyle w:val="Heading1"/>
      </w:pPr>
      <w:r w:rsidRPr="001356F1">
        <w:t xml:space="preserve">Introduction </w:t>
      </w:r>
    </w:p>
    <w:p w:rsidR="007B6C11" w:rsidRDefault="00F54A44" w:rsidP="00F54A44">
      <w:pPr>
        <w:pStyle w:val="ListParagraph"/>
      </w:pPr>
      <w:r w:rsidRPr="00035EB7">
        <w:rPr>
          <w:bCs/>
        </w:rPr>
        <w:t xml:space="preserve">The Council has a duty to publish a </w:t>
      </w:r>
      <w:r w:rsidR="004335C7">
        <w:rPr>
          <w:bCs/>
        </w:rPr>
        <w:t>T</w:t>
      </w:r>
      <w:r w:rsidRPr="00035EB7">
        <w:rPr>
          <w:bCs/>
        </w:rPr>
        <w:t xml:space="preserve">enancy </w:t>
      </w:r>
      <w:r w:rsidR="004335C7">
        <w:rPr>
          <w:bCs/>
        </w:rPr>
        <w:t>S</w:t>
      </w:r>
      <w:r w:rsidRPr="00035EB7">
        <w:rPr>
          <w:bCs/>
        </w:rPr>
        <w:t>trategy</w:t>
      </w:r>
      <w:r w:rsidR="00E60130">
        <w:rPr>
          <w:bCs/>
        </w:rPr>
        <w:t xml:space="preserve"> (as a strategic housing authority)</w:t>
      </w:r>
      <w:r w:rsidRPr="00035EB7">
        <w:rPr>
          <w:bCs/>
        </w:rPr>
        <w:t xml:space="preserve"> </w:t>
      </w:r>
      <w:r w:rsidR="004335C7">
        <w:rPr>
          <w:bCs/>
        </w:rPr>
        <w:t>and Tenancy Policy</w:t>
      </w:r>
      <w:r w:rsidR="00E60130">
        <w:rPr>
          <w:bCs/>
        </w:rPr>
        <w:t xml:space="preserve"> (as a social housing provider and landlord)</w:t>
      </w:r>
      <w:r w:rsidR="004335C7">
        <w:rPr>
          <w:bCs/>
        </w:rPr>
        <w:t xml:space="preserve"> </w:t>
      </w:r>
      <w:r w:rsidRPr="00035EB7">
        <w:rPr>
          <w:bCs/>
        </w:rPr>
        <w:t>in accordance with the Localism Act 201</w:t>
      </w:r>
      <w:r>
        <w:rPr>
          <w:bCs/>
        </w:rPr>
        <w:t>1</w:t>
      </w:r>
      <w:r w:rsidRPr="00035EB7">
        <w:rPr>
          <w:bCs/>
        </w:rPr>
        <w:t xml:space="preserve">. </w:t>
      </w:r>
      <w:r w:rsidR="007B6C11">
        <w:rPr>
          <w:bCs/>
        </w:rPr>
        <w:t xml:space="preserve">The purpose of the strategy is to set out </w:t>
      </w:r>
      <w:r w:rsidR="007B6C11">
        <w:t xml:space="preserve">the Council’s requirements and expectations of social housing providers operating within the City, to ensure that housing is provided to meet local housing need. </w:t>
      </w:r>
    </w:p>
    <w:p w:rsidR="00F54A44" w:rsidRPr="004335C7" w:rsidRDefault="00F54A44" w:rsidP="00F54A44">
      <w:pPr>
        <w:pStyle w:val="ListParagraph"/>
      </w:pPr>
      <w:r w:rsidRPr="00035EB7">
        <w:rPr>
          <w:bCs/>
        </w:rPr>
        <w:t xml:space="preserve">The </w:t>
      </w:r>
      <w:r w:rsidR="004335C7">
        <w:rPr>
          <w:bCs/>
        </w:rPr>
        <w:t xml:space="preserve">Council’s </w:t>
      </w:r>
      <w:r w:rsidRPr="00035EB7">
        <w:rPr>
          <w:bCs/>
        </w:rPr>
        <w:t xml:space="preserve">current </w:t>
      </w:r>
      <w:r>
        <w:rPr>
          <w:bCs/>
        </w:rPr>
        <w:t>strategy and policy statement was produced in 2013</w:t>
      </w:r>
      <w:r w:rsidRPr="00035EB7">
        <w:rPr>
          <w:bCs/>
        </w:rPr>
        <w:t xml:space="preserve"> and is due for re</w:t>
      </w:r>
      <w:r>
        <w:rPr>
          <w:bCs/>
        </w:rPr>
        <w:t>newal</w:t>
      </w:r>
      <w:r w:rsidR="004335C7">
        <w:rPr>
          <w:bCs/>
        </w:rPr>
        <w:t xml:space="preserve"> in 2018</w:t>
      </w:r>
      <w:r>
        <w:rPr>
          <w:bCs/>
        </w:rPr>
        <w:t>.</w:t>
      </w:r>
      <w:r w:rsidR="00F80543">
        <w:rPr>
          <w:bCs/>
        </w:rPr>
        <w:t xml:space="preserve"> The commitment to renew the Tenancy Strategy in 2018 was also set out as an action in the Council’s recently adopted Housing and Homelessness Strategy 2018-21. </w:t>
      </w:r>
    </w:p>
    <w:p w:rsidR="003F417A" w:rsidRDefault="003F417A" w:rsidP="003F417A">
      <w:pPr>
        <w:pStyle w:val="ListParagraph"/>
      </w:pPr>
      <w:r>
        <w:t>At its meeting on 20 March 2018, the City Executive Board</w:t>
      </w:r>
      <w:r w:rsidR="00A37996">
        <w:t xml:space="preserve"> (CEB)</w:t>
      </w:r>
      <w:r>
        <w:t xml:space="preserve"> approved the publication of the draft Tenancy Strategy and Tenancy Policy 2018-23 (and associated appendices) f</w:t>
      </w:r>
      <w:r w:rsidR="0038049B">
        <w:t>or a 4 week period of p</w:t>
      </w:r>
      <w:r>
        <w:t>ublic consultat</w:t>
      </w:r>
      <w:r w:rsidR="0038049B">
        <w:t>ion. The consultation ended on 19</w:t>
      </w:r>
      <w:r>
        <w:t xml:space="preserve"> </w:t>
      </w:r>
      <w:r w:rsidR="0038049B">
        <w:t>April 2018</w:t>
      </w:r>
      <w:r>
        <w:t xml:space="preserve"> and amendments have been made to the draft strategy to take into account the feedback received. </w:t>
      </w:r>
    </w:p>
    <w:p w:rsidR="00C625AF" w:rsidRPr="002A529D" w:rsidRDefault="00C625AF" w:rsidP="002A529D">
      <w:pPr>
        <w:pStyle w:val="ListParagraph"/>
        <w:ind w:left="426" w:hanging="426"/>
        <w:rPr>
          <w:bCs/>
        </w:rPr>
      </w:pPr>
      <w:r w:rsidRPr="002A529D">
        <w:rPr>
          <w:bCs/>
        </w:rPr>
        <w:t>The key objectives of the Tenancy Strategy are</w:t>
      </w:r>
      <w:r w:rsidRPr="00C625AF">
        <w:rPr>
          <w:bCs/>
        </w:rPr>
        <w:t>:</w:t>
      </w:r>
    </w:p>
    <w:p w:rsidR="00C625AF" w:rsidRPr="00C625AF" w:rsidRDefault="00C625AF" w:rsidP="00AB6E0A">
      <w:pPr>
        <w:pStyle w:val="ListParagraph"/>
        <w:numPr>
          <w:ilvl w:val="1"/>
          <w:numId w:val="11"/>
        </w:numPr>
        <w:autoSpaceDE w:val="0"/>
        <w:autoSpaceDN w:val="0"/>
        <w:adjustRightInd w:val="0"/>
        <w:spacing w:after="0"/>
        <w:ind w:left="993" w:hanging="502"/>
        <w:contextualSpacing/>
        <w:rPr>
          <w:bCs/>
        </w:rPr>
      </w:pPr>
      <w:r w:rsidRPr="00C625AF">
        <w:rPr>
          <w:bCs/>
        </w:rPr>
        <w:t>To promote Oxford City’s housing vision with a focus to provide social rented tenancies</w:t>
      </w:r>
    </w:p>
    <w:p w:rsidR="00C625AF" w:rsidRPr="00C625AF" w:rsidRDefault="00C625AF" w:rsidP="00AB6E0A">
      <w:pPr>
        <w:pStyle w:val="ListParagraph"/>
        <w:numPr>
          <w:ilvl w:val="1"/>
          <w:numId w:val="11"/>
        </w:numPr>
        <w:autoSpaceDE w:val="0"/>
        <w:autoSpaceDN w:val="0"/>
        <w:adjustRightInd w:val="0"/>
        <w:spacing w:after="0"/>
        <w:ind w:left="993" w:hanging="502"/>
        <w:contextualSpacing/>
        <w:rPr>
          <w:bCs/>
        </w:rPr>
      </w:pPr>
      <w:r w:rsidRPr="00C625AF">
        <w:rPr>
          <w:bCs/>
        </w:rPr>
        <w:t>To ensure that affordable housing providers adhere to the new Tenancy Strategy to the benefit of the local community</w:t>
      </w:r>
    </w:p>
    <w:p w:rsidR="00C625AF" w:rsidRPr="00C625AF" w:rsidRDefault="00C625AF" w:rsidP="00AB6E0A">
      <w:pPr>
        <w:pStyle w:val="ListParagraph"/>
        <w:numPr>
          <w:ilvl w:val="1"/>
          <w:numId w:val="11"/>
        </w:numPr>
        <w:autoSpaceDE w:val="0"/>
        <w:autoSpaceDN w:val="0"/>
        <w:adjustRightInd w:val="0"/>
        <w:spacing w:after="0"/>
        <w:ind w:left="993" w:hanging="502"/>
        <w:contextualSpacing/>
        <w:rPr>
          <w:bCs/>
        </w:rPr>
      </w:pPr>
      <w:r w:rsidRPr="00C625AF">
        <w:rPr>
          <w:bCs/>
        </w:rPr>
        <w:t xml:space="preserve">Affordable housing providers are to let any new tenancies in Oxford at genuinely affordable rents i.e. in line with social rent or at Affordable Rents capped at Local Housing Allowance (or equivalent measure) levels. </w:t>
      </w:r>
    </w:p>
    <w:p w:rsidR="00C625AF" w:rsidRPr="00C625AF" w:rsidRDefault="00C625AF" w:rsidP="00AB6E0A">
      <w:pPr>
        <w:pStyle w:val="ListParagraph"/>
        <w:numPr>
          <w:ilvl w:val="1"/>
          <w:numId w:val="11"/>
        </w:numPr>
        <w:autoSpaceDE w:val="0"/>
        <w:autoSpaceDN w:val="0"/>
        <w:adjustRightInd w:val="0"/>
        <w:spacing w:after="0"/>
        <w:ind w:left="993" w:hanging="502"/>
        <w:contextualSpacing/>
        <w:rPr>
          <w:bCs/>
        </w:rPr>
      </w:pPr>
      <w:r w:rsidRPr="00C625AF">
        <w:rPr>
          <w:bCs/>
        </w:rPr>
        <w:t xml:space="preserve">To create sustainable, mixed and balanced communities. </w:t>
      </w:r>
    </w:p>
    <w:p w:rsidR="004335C7" w:rsidRPr="001B1733" w:rsidRDefault="001B1733" w:rsidP="001B1733">
      <w:pPr>
        <w:pStyle w:val="Heading1"/>
      </w:pPr>
      <w:r w:rsidRPr="001B1733">
        <w:t>Development of the strategy</w:t>
      </w:r>
      <w:r w:rsidR="00EE4DD6">
        <w:t xml:space="preserve"> and appendices</w:t>
      </w:r>
    </w:p>
    <w:p w:rsidR="003E1171" w:rsidRDefault="00A37996" w:rsidP="00AB6E0A">
      <w:pPr>
        <w:pStyle w:val="ListParagraph"/>
        <w:numPr>
          <w:ilvl w:val="0"/>
          <w:numId w:val="11"/>
        </w:numPr>
      </w:pPr>
      <w:r>
        <w:t xml:space="preserve">The CEB report </w:t>
      </w:r>
      <w:r w:rsidR="003E1171">
        <w:t xml:space="preserve">dated </w:t>
      </w:r>
      <w:r w:rsidR="00AF2927">
        <w:t>20 March 2018</w:t>
      </w:r>
      <w:r w:rsidR="003E1171">
        <w:t>,</w:t>
      </w:r>
      <w:r w:rsidR="00AF2927">
        <w:t xml:space="preserve"> highlighted the </w:t>
      </w:r>
      <w:r>
        <w:t>changes</w:t>
      </w:r>
      <w:r w:rsidR="001A14A9">
        <w:t xml:space="preserve"> to Government policy and </w:t>
      </w:r>
      <w:r w:rsidR="00AF2927">
        <w:t xml:space="preserve">new regulations </w:t>
      </w:r>
      <w:r w:rsidR="001A14A9">
        <w:t>introduced</w:t>
      </w:r>
      <w:r w:rsidR="00AF2927">
        <w:t xml:space="preserve"> by the Housing and Planning Act 2016</w:t>
      </w:r>
      <w:r w:rsidR="003E1171">
        <w:t xml:space="preserve"> i.e. </w:t>
      </w:r>
      <w:r w:rsidR="00373847">
        <w:t xml:space="preserve">subject to Government guidance being published, </w:t>
      </w:r>
      <w:r w:rsidR="003E1171">
        <w:t xml:space="preserve">the mandatory requirement for all Local Authorities to offer flexible Fixed Term Tenancies. The CEB report also </w:t>
      </w:r>
      <w:r w:rsidR="00373847">
        <w:t>set out the findings of an</w:t>
      </w:r>
      <w:r w:rsidR="002D0BDA">
        <w:t xml:space="preserve"> </w:t>
      </w:r>
      <w:r w:rsidR="003E1171">
        <w:t xml:space="preserve">evaluation exercise </w:t>
      </w:r>
      <w:r w:rsidR="002D0BDA">
        <w:t xml:space="preserve">that </w:t>
      </w:r>
      <w:r w:rsidR="003E1171">
        <w:t xml:space="preserve">had been undertaken </w:t>
      </w:r>
      <w:r w:rsidR="00B868EB">
        <w:t xml:space="preserve">in relation to the City Council’s </w:t>
      </w:r>
      <w:r w:rsidR="003E1171">
        <w:t>existing Tenancy Strategy and</w:t>
      </w:r>
      <w:r w:rsidR="002D0BDA">
        <w:t xml:space="preserve"> Policy Statement 2013 (including the impact on registered Providers </w:t>
      </w:r>
      <w:r w:rsidR="00311899">
        <w:t>that</w:t>
      </w:r>
      <w:r w:rsidR="002D0BDA">
        <w:t xml:space="preserve"> operate in the City and </w:t>
      </w:r>
      <w:r w:rsidR="00373847">
        <w:t xml:space="preserve">the practices </w:t>
      </w:r>
      <w:r w:rsidR="002D0BDA">
        <w:t xml:space="preserve">of other similar sized stock-owning Local Authorities). </w:t>
      </w:r>
      <w:r w:rsidR="003E1171">
        <w:t xml:space="preserve">    </w:t>
      </w:r>
    </w:p>
    <w:p w:rsidR="00AD7B90" w:rsidRDefault="002D0BDA" w:rsidP="00AB6E0A">
      <w:pPr>
        <w:pStyle w:val="ListParagraph"/>
        <w:numPr>
          <w:ilvl w:val="0"/>
          <w:numId w:val="11"/>
        </w:numPr>
      </w:pPr>
      <w:r>
        <w:t>Following approval by the City Executive Board</w:t>
      </w:r>
      <w:r w:rsidR="00373847">
        <w:t xml:space="preserve">, </w:t>
      </w:r>
      <w:r w:rsidR="00B868EB">
        <w:t xml:space="preserve">the </w:t>
      </w:r>
      <w:r>
        <w:t xml:space="preserve">Draft Tenancy Strategy 2018-2023 and </w:t>
      </w:r>
      <w:r w:rsidR="004E32EF">
        <w:t xml:space="preserve">its </w:t>
      </w:r>
      <w:r>
        <w:t xml:space="preserve">associated appendices were published for a period of public consultation </w:t>
      </w:r>
      <w:r w:rsidR="004E32EF">
        <w:t xml:space="preserve">which </w:t>
      </w:r>
      <w:r>
        <w:t xml:space="preserve">ran from </w:t>
      </w:r>
      <w:r w:rsidR="001E61E2">
        <w:t>21</w:t>
      </w:r>
      <w:r w:rsidR="001E61E2">
        <w:rPr>
          <w:vertAlign w:val="superscript"/>
        </w:rPr>
        <w:t xml:space="preserve"> </w:t>
      </w:r>
      <w:r w:rsidR="001E61E2">
        <w:t>March 2018 to 19 April 2018</w:t>
      </w:r>
      <w:r>
        <w:t xml:space="preserve"> inclusive</w:t>
      </w:r>
      <w:r w:rsidR="001E61E2">
        <w:t xml:space="preserve">. </w:t>
      </w:r>
      <w:r w:rsidR="00300273">
        <w:t>This included consultation events with stakeholder</w:t>
      </w:r>
      <w:r w:rsidR="00373847">
        <w:t>s</w:t>
      </w:r>
      <w:r w:rsidR="00300273">
        <w:t xml:space="preserve"> and statutory consultees</w:t>
      </w:r>
      <w:r w:rsidR="00373847">
        <w:t>,</w:t>
      </w:r>
      <w:r w:rsidR="00300273">
        <w:t xml:space="preserve"> and</w:t>
      </w:r>
      <w:r w:rsidR="00373847">
        <w:t xml:space="preserve"> consultation with</w:t>
      </w:r>
      <w:r w:rsidR="00300273">
        <w:t xml:space="preserve"> Council tenants as well as a</w:t>
      </w:r>
      <w:r w:rsidR="00373847">
        <w:t xml:space="preserve"> public </w:t>
      </w:r>
      <w:r w:rsidR="00300273">
        <w:t>survey</w:t>
      </w:r>
      <w:r w:rsidR="00373847">
        <w:t xml:space="preserve"> via an online</w:t>
      </w:r>
      <w:r w:rsidR="00300273">
        <w:t xml:space="preserve"> questionnaire</w:t>
      </w:r>
      <w:r w:rsidR="00373847">
        <w:t xml:space="preserve"> </w:t>
      </w:r>
      <w:hyperlink r:id="rId9" w:history="1">
        <w:r w:rsidR="00300273">
          <w:rPr>
            <w:rStyle w:val="Hyperlink"/>
          </w:rPr>
          <w:t>www.oxford.gov.uk/tenancystrategysurvey</w:t>
        </w:r>
      </w:hyperlink>
      <w:r w:rsidR="00300273">
        <w:t xml:space="preserve">.  </w:t>
      </w:r>
      <w:r w:rsidR="00373847">
        <w:t>The consultation was promoted via social m</w:t>
      </w:r>
      <w:r w:rsidR="00DC21DE">
        <w:t>edia, posters, news articles</w:t>
      </w:r>
      <w:r w:rsidR="00373847">
        <w:t>, Member briefings</w:t>
      </w:r>
      <w:r w:rsidR="00DC21DE">
        <w:t xml:space="preserve"> and articles in the City Councils’ Tenants in Touch magazine</w:t>
      </w:r>
      <w:r w:rsidR="00373847">
        <w:t>. To meet legislative requirements, copies of the draft Tenancy Strategy and Tenancy Policy 2018-23 documents were sent electronically to all Registered Providers who operate within Oxford City</w:t>
      </w:r>
      <w:r w:rsidR="00AD7B90">
        <w:t xml:space="preserve">. </w:t>
      </w:r>
      <w:r w:rsidR="00311899">
        <w:t xml:space="preserve">In addition, paper copies of all the documents were made available for the public to view at St Aldates Chambers. </w:t>
      </w:r>
    </w:p>
    <w:p w:rsidR="00AD7B90" w:rsidRDefault="00AD7B90" w:rsidP="00AB6E0A">
      <w:pPr>
        <w:pStyle w:val="ListParagraph"/>
        <w:numPr>
          <w:ilvl w:val="0"/>
          <w:numId w:val="11"/>
        </w:numPr>
      </w:pPr>
      <w:r>
        <w:lastRenderedPageBreak/>
        <w:t xml:space="preserve">There were a total of 34 responses to the consultation on the Tenancy Strategy and Tenancy Policy 2018-23. These included responses from 13 Registered Providers, 2 major employers and 19 individuals. 35% (12) responses were received via the online survey form; one individual response was provided via written feedback as opposed to completing the online survey; and the remainder of responses were obtained from the stakeholder (12 attendees) or tenant consultation (9 attendees) events held in early April 2018. A summary of the consultation feedback, along with the officer response, has been provided as Appendix 4 to this report. </w:t>
      </w:r>
    </w:p>
    <w:p w:rsidR="00D17A64" w:rsidRPr="00D17A64" w:rsidRDefault="00744D4F" w:rsidP="00AB6E0A">
      <w:pPr>
        <w:pStyle w:val="ListParagraph"/>
        <w:numPr>
          <w:ilvl w:val="0"/>
          <w:numId w:val="11"/>
        </w:numPr>
        <w:rPr>
          <w:rFonts w:eastAsiaTheme="minorHAnsi" w:cs="Arial"/>
          <w:color w:val="auto"/>
          <w:lang w:eastAsia="en-US"/>
        </w:rPr>
      </w:pPr>
      <w:r>
        <w:t>The consultation responses</w:t>
      </w:r>
      <w:r w:rsidR="00AD7B90">
        <w:t xml:space="preserve"> revealed</w:t>
      </w:r>
      <w:r w:rsidR="00D17A64">
        <w:t>:</w:t>
      </w:r>
      <w:r w:rsidR="00D17A64" w:rsidRPr="00D17A64">
        <w:rPr>
          <w:rFonts w:eastAsiaTheme="minorHAnsi" w:cs="Arial"/>
          <w:color w:val="auto"/>
          <w:lang w:eastAsia="en-US"/>
        </w:rPr>
        <w:t xml:space="preserve"> </w:t>
      </w:r>
    </w:p>
    <w:p w:rsidR="00D17A64" w:rsidRPr="00AB6E0A" w:rsidRDefault="00D17A64" w:rsidP="00D17A64">
      <w:pPr>
        <w:numPr>
          <w:ilvl w:val="0"/>
          <w:numId w:val="8"/>
        </w:numPr>
        <w:spacing w:after="0"/>
        <w:contextualSpacing/>
        <w:rPr>
          <w:rFonts w:eastAsiaTheme="minorHAnsi" w:cs="Arial"/>
          <w:color w:val="auto"/>
          <w:lang w:eastAsia="en-US"/>
        </w:rPr>
      </w:pPr>
      <w:r w:rsidRPr="00D17A64">
        <w:rPr>
          <w:rFonts w:eastAsiaTheme="minorHAnsi" w:cs="Arial"/>
          <w:color w:val="auto"/>
          <w:lang w:eastAsia="en-US"/>
        </w:rPr>
        <w:t xml:space="preserve">31% of respondents supported that the Council should introduce Flexible </w:t>
      </w:r>
      <w:r w:rsidRPr="00AB6E0A">
        <w:rPr>
          <w:rFonts w:eastAsiaTheme="minorHAnsi" w:cs="Arial"/>
          <w:color w:val="auto"/>
          <w:lang w:eastAsia="en-US"/>
        </w:rPr>
        <w:t xml:space="preserve">Fixed Term Tenancies now. </w:t>
      </w:r>
    </w:p>
    <w:p w:rsidR="00D17A64" w:rsidRPr="00AB6E0A" w:rsidRDefault="007B6C11" w:rsidP="00D17A64">
      <w:pPr>
        <w:numPr>
          <w:ilvl w:val="0"/>
          <w:numId w:val="8"/>
        </w:numPr>
        <w:spacing w:after="0"/>
        <w:contextualSpacing/>
        <w:rPr>
          <w:rFonts w:eastAsiaTheme="minorHAnsi" w:cs="Arial"/>
          <w:color w:val="auto"/>
          <w:lang w:eastAsia="en-US"/>
        </w:rPr>
      </w:pPr>
      <w:r w:rsidRPr="00AB6E0A">
        <w:rPr>
          <w:rFonts w:eastAsiaTheme="minorHAnsi" w:cs="Arial"/>
          <w:color w:val="auto"/>
          <w:lang w:eastAsia="en-US"/>
        </w:rPr>
        <w:t xml:space="preserve">In relation to </w:t>
      </w:r>
      <w:r w:rsidR="00195F7C" w:rsidRPr="00AB6E0A">
        <w:rPr>
          <w:rFonts w:eastAsiaTheme="minorHAnsi" w:cs="Arial"/>
          <w:color w:val="auto"/>
          <w:lang w:eastAsia="en-US"/>
        </w:rPr>
        <w:t xml:space="preserve">the assessment of affordability as set out in the Strategy, </w:t>
      </w:r>
      <w:r w:rsidR="00E01508" w:rsidRPr="00AB6E0A">
        <w:rPr>
          <w:rFonts w:eastAsiaTheme="minorHAnsi" w:cs="Arial"/>
          <w:color w:val="auto"/>
          <w:lang w:eastAsia="en-US"/>
        </w:rPr>
        <w:t>46% of respondents expressed a view that it would be reasonable to pay between 30-35% of NET household income on household costs i.e. rent and/or mortgage. A</w:t>
      </w:r>
      <w:r w:rsidR="00D17A64" w:rsidRPr="00AB6E0A">
        <w:rPr>
          <w:rFonts w:eastAsiaTheme="minorHAnsi" w:cs="Arial"/>
          <w:color w:val="auto"/>
          <w:lang w:eastAsia="en-US"/>
        </w:rPr>
        <w:t xml:space="preserve"> further 32%</w:t>
      </w:r>
      <w:r w:rsidR="00E01508" w:rsidRPr="00AB6E0A">
        <w:rPr>
          <w:rFonts w:eastAsiaTheme="minorHAnsi" w:cs="Arial"/>
          <w:color w:val="auto"/>
          <w:lang w:eastAsia="en-US"/>
        </w:rPr>
        <w:t xml:space="preserve"> of respondents</w:t>
      </w:r>
      <w:r w:rsidR="00D17A64" w:rsidRPr="00AB6E0A">
        <w:rPr>
          <w:rFonts w:eastAsiaTheme="minorHAnsi" w:cs="Arial"/>
          <w:color w:val="auto"/>
          <w:lang w:eastAsia="en-US"/>
        </w:rPr>
        <w:t xml:space="preserve"> propos</w:t>
      </w:r>
      <w:r w:rsidR="00E01508" w:rsidRPr="00AB6E0A">
        <w:rPr>
          <w:rFonts w:eastAsiaTheme="minorHAnsi" w:cs="Arial"/>
          <w:color w:val="auto"/>
          <w:lang w:eastAsia="en-US"/>
        </w:rPr>
        <w:t>ed</w:t>
      </w:r>
      <w:r w:rsidR="00D17A64" w:rsidRPr="00AB6E0A">
        <w:rPr>
          <w:rFonts w:eastAsiaTheme="minorHAnsi" w:cs="Arial"/>
          <w:color w:val="auto"/>
          <w:lang w:eastAsia="en-US"/>
        </w:rPr>
        <w:t xml:space="preserve"> that this should be lower (e.g. 20-25% of NET income).</w:t>
      </w:r>
      <w:r w:rsidR="00E01508" w:rsidRPr="00AB6E0A">
        <w:rPr>
          <w:rFonts w:eastAsiaTheme="minorHAnsi" w:cs="Arial"/>
          <w:color w:val="auto"/>
          <w:lang w:eastAsia="en-US"/>
        </w:rPr>
        <w:t xml:space="preserve"> This reflects </w:t>
      </w:r>
      <w:r w:rsidR="002D3EE2" w:rsidRPr="00AB6E0A">
        <w:rPr>
          <w:rFonts w:eastAsiaTheme="minorHAnsi" w:cs="Arial"/>
          <w:color w:val="auto"/>
          <w:lang w:eastAsia="en-US"/>
        </w:rPr>
        <w:t>what is found in national data and research</w:t>
      </w:r>
      <w:r w:rsidR="009A3D6E" w:rsidRPr="00AB6E0A">
        <w:rPr>
          <w:rFonts w:eastAsiaTheme="minorHAnsi" w:cs="Arial"/>
          <w:color w:val="auto"/>
          <w:lang w:eastAsia="en-US"/>
        </w:rPr>
        <w:t xml:space="preserve"> around calculating affordability</w:t>
      </w:r>
      <w:r w:rsidR="002D3EE2" w:rsidRPr="00AB6E0A">
        <w:rPr>
          <w:rFonts w:eastAsiaTheme="minorHAnsi" w:cs="Arial"/>
          <w:color w:val="auto"/>
          <w:lang w:eastAsia="en-US"/>
        </w:rPr>
        <w:t xml:space="preserve"> i.e. </w:t>
      </w:r>
      <w:r w:rsidR="009A3D6E" w:rsidRPr="00AB6E0A">
        <w:rPr>
          <w:rFonts w:eastAsiaTheme="minorHAnsi" w:cs="Arial"/>
          <w:color w:val="auto"/>
          <w:lang w:eastAsia="en-US"/>
        </w:rPr>
        <w:t xml:space="preserve">spending </w:t>
      </w:r>
      <w:r w:rsidR="002D3EE2" w:rsidRPr="00AB6E0A">
        <w:rPr>
          <w:rFonts w:eastAsiaTheme="minorHAnsi" w:cs="Arial"/>
          <w:color w:val="auto"/>
          <w:lang w:eastAsia="en-US"/>
        </w:rPr>
        <w:t>around one third of household income on housing costs</w:t>
      </w:r>
      <w:r w:rsidR="009A3D6E" w:rsidRPr="00AB6E0A">
        <w:rPr>
          <w:rFonts w:eastAsiaTheme="minorHAnsi" w:cs="Arial"/>
          <w:color w:val="auto"/>
          <w:lang w:eastAsia="en-US"/>
        </w:rPr>
        <w:t xml:space="preserve"> (see Appendix C of the Tenancy Strategy for details).  </w:t>
      </w:r>
    </w:p>
    <w:p w:rsidR="00D17A64" w:rsidRPr="00D17A64" w:rsidRDefault="00D17A64" w:rsidP="00D17A64">
      <w:pPr>
        <w:numPr>
          <w:ilvl w:val="0"/>
          <w:numId w:val="8"/>
        </w:numPr>
        <w:spacing w:after="0"/>
        <w:contextualSpacing/>
        <w:rPr>
          <w:rFonts w:eastAsiaTheme="minorHAnsi" w:cs="Arial"/>
          <w:color w:val="auto"/>
          <w:lang w:eastAsia="en-US"/>
        </w:rPr>
      </w:pPr>
      <w:r w:rsidRPr="00D17A64">
        <w:rPr>
          <w:rFonts w:eastAsiaTheme="minorHAnsi" w:cs="Arial"/>
          <w:color w:val="auto"/>
          <w:lang w:eastAsia="en-US"/>
        </w:rPr>
        <w:t xml:space="preserve">70% of respondents agreed that the Council and Registered Providers (RPs) should provide tenancies at social rent levels and 61% supported that the Council should continue to offer lifetime tenancies. </w:t>
      </w:r>
    </w:p>
    <w:p w:rsidR="00D17A64" w:rsidRPr="00D17A64" w:rsidRDefault="00D17A64" w:rsidP="00D17A64">
      <w:pPr>
        <w:numPr>
          <w:ilvl w:val="0"/>
          <w:numId w:val="8"/>
        </w:numPr>
        <w:spacing w:after="0"/>
        <w:contextualSpacing/>
        <w:rPr>
          <w:rFonts w:eastAsiaTheme="minorHAnsi" w:cs="Arial"/>
          <w:color w:val="auto"/>
          <w:lang w:eastAsia="en-US"/>
        </w:rPr>
      </w:pPr>
      <w:r w:rsidRPr="00D17A64">
        <w:rPr>
          <w:rFonts w:eastAsiaTheme="minorHAnsi" w:cs="Arial"/>
          <w:color w:val="auto"/>
          <w:lang w:eastAsia="en-US"/>
        </w:rPr>
        <w:t xml:space="preserve">Around half (52%) supported that social housing providers (RPs) should offer lifetime tenancies and a further 25% neither agreed nor disagreed with this. Those who disagreed highlighted that fixed term tenancies can assist in better managing housing stock and can facilitate the churn of social housing re-lets. </w:t>
      </w:r>
    </w:p>
    <w:p w:rsidR="00D17A64" w:rsidRPr="00D17A64" w:rsidRDefault="00D17A64" w:rsidP="00D17A64">
      <w:pPr>
        <w:numPr>
          <w:ilvl w:val="0"/>
          <w:numId w:val="8"/>
        </w:numPr>
        <w:spacing w:after="0"/>
        <w:contextualSpacing/>
        <w:rPr>
          <w:rFonts w:eastAsiaTheme="minorHAnsi" w:cs="Arial"/>
          <w:color w:val="auto"/>
          <w:lang w:eastAsia="en-US"/>
        </w:rPr>
      </w:pPr>
      <w:r w:rsidRPr="00D17A64">
        <w:rPr>
          <w:rFonts w:eastAsiaTheme="minorHAnsi" w:cs="Arial"/>
          <w:color w:val="auto"/>
          <w:lang w:eastAsia="en-US"/>
        </w:rPr>
        <w:t xml:space="preserve">91% of respondents agreed that affordable rents, if used, should be capped at Local Housing Allowance levels although concerns were raised regarding the viability of schemes if rental income is capped. </w:t>
      </w:r>
    </w:p>
    <w:p w:rsidR="00D17A64" w:rsidRDefault="00D17A64" w:rsidP="00D17A64">
      <w:pPr>
        <w:numPr>
          <w:ilvl w:val="0"/>
          <w:numId w:val="8"/>
        </w:numPr>
        <w:spacing w:after="0"/>
        <w:contextualSpacing/>
        <w:rPr>
          <w:rFonts w:eastAsiaTheme="minorHAnsi" w:cs="Arial"/>
          <w:color w:val="auto"/>
          <w:lang w:eastAsia="en-US"/>
        </w:rPr>
      </w:pPr>
      <w:r w:rsidRPr="00D17A64">
        <w:rPr>
          <w:rFonts w:eastAsiaTheme="minorHAnsi" w:cs="Arial"/>
          <w:color w:val="auto"/>
          <w:lang w:eastAsia="en-US"/>
        </w:rPr>
        <w:t>Strong support (94%) was also demonstrated for any receipts from sales of Affordable Housing to be used to build "one for one" replacement homes at social rent levels. However, respondents also highlighted that there is limited development opportunity within the city to build the replacement homes i.e. not many larger development sites and smaller development sites may be impacted by viability.</w:t>
      </w:r>
    </w:p>
    <w:p w:rsidR="00AD7B90" w:rsidRPr="00D17A64" w:rsidRDefault="00D17A64" w:rsidP="00D17A64">
      <w:pPr>
        <w:numPr>
          <w:ilvl w:val="0"/>
          <w:numId w:val="8"/>
        </w:numPr>
        <w:spacing w:after="0"/>
        <w:contextualSpacing/>
      </w:pPr>
      <w:r w:rsidRPr="00D17A64">
        <w:rPr>
          <w:rFonts w:eastAsiaTheme="minorHAnsi" w:cs="Arial"/>
          <w:color w:val="auto"/>
          <w:lang w:eastAsia="en-US"/>
        </w:rPr>
        <w:t>70%</w:t>
      </w:r>
      <w:r>
        <w:rPr>
          <w:rFonts w:eastAsiaTheme="minorHAnsi" w:cs="Arial"/>
          <w:color w:val="auto"/>
          <w:lang w:eastAsia="en-US"/>
        </w:rPr>
        <w:t xml:space="preserve"> of respondents</w:t>
      </w:r>
      <w:r w:rsidRPr="00D17A64">
        <w:rPr>
          <w:rFonts w:eastAsiaTheme="minorHAnsi" w:cs="Arial"/>
          <w:color w:val="auto"/>
          <w:lang w:eastAsia="en-US"/>
        </w:rPr>
        <w:t xml:space="preserve"> agreed that rent charges on shared ownership properties should be capped (to support affordability). However, concerns were expressed that capping rental income may impact on the viability of schemes.</w:t>
      </w:r>
    </w:p>
    <w:p w:rsidR="00D17A64" w:rsidRDefault="00D17A64" w:rsidP="00D17A64">
      <w:pPr>
        <w:spacing w:after="0"/>
        <w:ind w:left="1440"/>
        <w:contextualSpacing/>
      </w:pPr>
    </w:p>
    <w:p w:rsidR="00F77B52" w:rsidRDefault="00AD7B90" w:rsidP="00AB6E0A">
      <w:pPr>
        <w:pStyle w:val="ListParagraph"/>
        <w:numPr>
          <w:ilvl w:val="0"/>
          <w:numId w:val="11"/>
        </w:numPr>
      </w:pPr>
      <w:r>
        <w:t>To date,</w:t>
      </w:r>
      <w:r w:rsidRPr="00AD7B90">
        <w:t xml:space="preserve"> </w:t>
      </w:r>
      <w:r>
        <w:t xml:space="preserve">no Government guidance has been published with regards to the mandatory use of Flexible Fixed Term Tenancies and there is no indication yet as to when this will </w:t>
      </w:r>
      <w:r w:rsidR="00744D4F">
        <w:t xml:space="preserve">happen. </w:t>
      </w:r>
      <w:r>
        <w:t>Therefore</w:t>
      </w:r>
      <w:r w:rsidR="00F77B52">
        <w:t xml:space="preserve">, until such time when Government guidance is published, </w:t>
      </w:r>
      <w:r>
        <w:t xml:space="preserve">it is proposed that Oxford City Council continues to issue </w:t>
      </w:r>
      <w:r w:rsidRPr="009A3D6E">
        <w:t xml:space="preserve">introductory </w:t>
      </w:r>
      <w:r w:rsidR="005A1AA5" w:rsidRPr="009A3D6E">
        <w:t xml:space="preserve">(12 month tenancies for new council tenants which enable the tenant and the City Council to establish if the tenancy arrangements are suitable) </w:t>
      </w:r>
      <w:r w:rsidRPr="009A3D6E">
        <w:t xml:space="preserve">and </w:t>
      </w:r>
      <w:r w:rsidR="00F77B52" w:rsidRPr="009A3D6E">
        <w:t>lifetime tenancies</w:t>
      </w:r>
      <w:r w:rsidR="005A1AA5" w:rsidRPr="009A3D6E">
        <w:t>.</w:t>
      </w:r>
      <w:r w:rsidR="00F77B52" w:rsidRPr="009A3D6E">
        <w:t xml:space="preserve"> </w:t>
      </w:r>
      <w:r w:rsidR="005A1AA5" w:rsidRPr="009A3D6E">
        <w:t xml:space="preserve">The Council will also </w:t>
      </w:r>
      <w:r w:rsidR="00F77B52" w:rsidRPr="009A3D6E">
        <w:t xml:space="preserve">continue to </w:t>
      </w:r>
      <w:r w:rsidR="00744D4F" w:rsidRPr="009A3D6E">
        <w:t>promote</w:t>
      </w:r>
      <w:r w:rsidR="00F77B52" w:rsidRPr="009A3D6E">
        <w:t xml:space="preserve"> that </w:t>
      </w:r>
      <w:r w:rsidRPr="009A3D6E">
        <w:t>other social housing</w:t>
      </w:r>
      <w:r>
        <w:t xml:space="preserve"> providers</w:t>
      </w:r>
      <w:r w:rsidR="00F77B52">
        <w:t xml:space="preserve"> in the City</w:t>
      </w:r>
      <w:r>
        <w:t xml:space="preserve"> do the same for the benefit of the local community.</w:t>
      </w:r>
      <w:r w:rsidR="00F77B52">
        <w:t xml:space="preserve"> </w:t>
      </w:r>
    </w:p>
    <w:p w:rsidR="00AD7B90" w:rsidRDefault="00F77B52" w:rsidP="00AB6E0A">
      <w:pPr>
        <w:pStyle w:val="ListParagraph"/>
        <w:numPr>
          <w:ilvl w:val="0"/>
          <w:numId w:val="11"/>
        </w:numPr>
      </w:pPr>
      <w:r>
        <w:lastRenderedPageBreak/>
        <w:t>Once Government guidance has been published, the Council will be required to review its T</w:t>
      </w:r>
      <w:r w:rsidR="00AD7B90">
        <w:t>enancy Strategy</w:t>
      </w:r>
      <w:r>
        <w:t xml:space="preserve"> and Tenancy Policy 2018-2023 in line with legislation and to consult on any proposed changes. Appendix D to the strategy explores in more detail h</w:t>
      </w:r>
      <w:r w:rsidR="00AD7B90" w:rsidRPr="00F77B52">
        <w:rPr>
          <w:color w:val="auto"/>
        </w:rPr>
        <w:t>ow Flexible Fixed Term tenancies could potentially work in Oxford</w:t>
      </w:r>
      <w:r>
        <w:rPr>
          <w:color w:val="auto"/>
        </w:rPr>
        <w:t xml:space="preserve">. </w:t>
      </w:r>
      <w:r w:rsidR="00AD7B90" w:rsidRPr="00F77B52">
        <w:rPr>
          <w:color w:val="auto"/>
        </w:rPr>
        <w:t xml:space="preserve"> </w:t>
      </w:r>
    </w:p>
    <w:p w:rsidR="006B32AA" w:rsidRDefault="00FD350A" w:rsidP="00AB6E0A">
      <w:pPr>
        <w:pStyle w:val="ListParagraph"/>
        <w:numPr>
          <w:ilvl w:val="0"/>
          <w:numId w:val="11"/>
        </w:numPr>
      </w:pPr>
      <w:r>
        <w:t xml:space="preserve">Further to the consultation, </w:t>
      </w:r>
      <w:r w:rsidR="00D17A64">
        <w:t xml:space="preserve">feedback has been used to amend the </w:t>
      </w:r>
      <w:r>
        <w:t>draft Tenancy Strategy and Tenancy Policy</w:t>
      </w:r>
      <w:r w:rsidR="00744D4F">
        <w:t xml:space="preserve"> 2018-2023</w:t>
      </w:r>
      <w:r w:rsidR="002F7BE9">
        <w:t xml:space="preserve">. Changes have been made to include </w:t>
      </w:r>
      <w:r w:rsidR="00D17A64">
        <w:t>clarity of position and to assist understanding</w:t>
      </w:r>
      <w:r w:rsidR="002F7BE9">
        <w:t xml:space="preserve"> around impact on viability and affordability; reference to the published consultation on the revised draft National Planning Policy Framework (i.e. definition of affordable housing models); and also</w:t>
      </w:r>
      <w:r w:rsidR="00D17A64">
        <w:t xml:space="preserve"> to </w:t>
      </w:r>
      <w:r w:rsidR="006B32AA" w:rsidRPr="006B32AA">
        <w:t>incorporate</w:t>
      </w:r>
      <w:r w:rsidR="00D17A64">
        <w:t xml:space="preserve"> recent statistical updates. </w:t>
      </w:r>
    </w:p>
    <w:p w:rsidR="00B74A85" w:rsidRPr="002F7BE9" w:rsidRDefault="00AD7B90" w:rsidP="00AB6E0A">
      <w:pPr>
        <w:pStyle w:val="ListParagraph"/>
        <w:numPr>
          <w:ilvl w:val="0"/>
          <w:numId w:val="11"/>
        </w:numPr>
        <w:rPr>
          <w:b/>
        </w:rPr>
      </w:pPr>
      <w:r w:rsidRPr="00AD7B90">
        <w:rPr>
          <w:color w:val="auto"/>
        </w:rPr>
        <w:t xml:space="preserve">The </w:t>
      </w:r>
      <w:r w:rsidR="00D624B5">
        <w:rPr>
          <w:color w:val="auto"/>
        </w:rPr>
        <w:t xml:space="preserve">Tenancy Strategy 2018-2023 and associated appendices, </w:t>
      </w:r>
      <w:r w:rsidRPr="00AD7B90">
        <w:rPr>
          <w:color w:val="auto"/>
        </w:rPr>
        <w:t>supports a continued offer of social rent tenure in preference to affordable rent</w:t>
      </w:r>
      <w:r w:rsidR="00744D4F">
        <w:rPr>
          <w:color w:val="auto"/>
        </w:rPr>
        <w:t xml:space="preserve"> where possible</w:t>
      </w:r>
      <w:r w:rsidRPr="00AD7B90">
        <w:rPr>
          <w:color w:val="auto"/>
        </w:rPr>
        <w:t xml:space="preserve">. This is mainly due to affordability reasons set out in Appendix C of the Tenancy Strategy document. </w:t>
      </w:r>
    </w:p>
    <w:p w:rsidR="0040736F" w:rsidRPr="00294220" w:rsidRDefault="002329CF" w:rsidP="00294220">
      <w:pPr>
        <w:rPr>
          <w:b/>
        </w:rPr>
      </w:pPr>
      <w:r w:rsidRPr="00294220">
        <w:rPr>
          <w:b/>
        </w:rPr>
        <w:t>Financial implications</w:t>
      </w:r>
    </w:p>
    <w:p w:rsidR="00E23BA8" w:rsidRPr="00B74A85" w:rsidRDefault="00744D4F" w:rsidP="00294220">
      <w:pPr>
        <w:ind w:left="360" w:hanging="360"/>
        <w:rPr>
          <w:color w:val="auto"/>
        </w:rPr>
      </w:pPr>
      <w:r>
        <w:rPr>
          <w:color w:val="auto"/>
        </w:rPr>
        <w:t>1</w:t>
      </w:r>
      <w:r w:rsidR="00AB6E0A">
        <w:rPr>
          <w:color w:val="auto"/>
        </w:rPr>
        <w:t>3</w:t>
      </w:r>
      <w:r w:rsidR="00234957" w:rsidRPr="00B74A85">
        <w:rPr>
          <w:color w:val="auto"/>
        </w:rPr>
        <w:tab/>
      </w:r>
      <w:r w:rsidR="00294220" w:rsidRPr="00B74A85">
        <w:rPr>
          <w:color w:val="auto"/>
        </w:rPr>
        <w:t xml:space="preserve">None associated with the recommendations in this report. </w:t>
      </w:r>
      <w:r w:rsidR="008171FE" w:rsidRPr="00B74A85">
        <w:rPr>
          <w:color w:val="auto"/>
        </w:rPr>
        <w:t>However, the financial impact associated with the introduction of Fixed Term Tenancies, when the details are eventually provided by Government, will be modelled through the HRA Business Plan and reported accordingly.</w:t>
      </w:r>
      <w:r w:rsidR="00B04AB3">
        <w:rPr>
          <w:color w:val="auto"/>
        </w:rPr>
        <w:t xml:space="preserve"> </w:t>
      </w:r>
    </w:p>
    <w:p w:rsidR="0040736F" w:rsidRPr="001356F1" w:rsidRDefault="00DA614B" w:rsidP="004A6D2F">
      <w:pPr>
        <w:pStyle w:val="Heading1"/>
      </w:pPr>
      <w:r w:rsidRPr="001356F1">
        <w:t>Legal issues</w:t>
      </w:r>
    </w:p>
    <w:p w:rsidR="00503E97" w:rsidRDefault="00744D4F" w:rsidP="00503E97">
      <w:pPr>
        <w:pStyle w:val="ListParagraph"/>
        <w:numPr>
          <w:ilvl w:val="0"/>
          <w:numId w:val="0"/>
        </w:numPr>
        <w:ind w:left="426" w:hanging="426"/>
      </w:pPr>
      <w:r>
        <w:t>1</w:t>
      </w:r>
      <w:r w:rsidR="00AB6E0A">
        <w:t>4</w:t>
      </w:r>
      <w:r w:rsidR="00B74A85">
        <w:t xml:space="preserve"> </w:t>
      </w:r>
      <w:r w:rsidR="00503E97">
        <w:t>Local Authorities are required to r</w:t>
      </w:r>
      <w:r w:rsidR="00503E97" w:rsidRPr="00503E97">
        <w:t xml:space="preserve">eview </w:t>
      </w:r>
      <w:r w:rsidR="00503E97">
        <w:t xml:space="preserve">their </w:t>
      </w:r>
      <w:r w:rsidR="00503E97" w:rsidRPr="00503E97">
        <w:t>Tenancy Strateg</w:t>
      </w:r>
      <w:r w:rsidR="00503E97">
        <w:t>ies</w:t>
      </w:r>
      <w:r w:rsidR="00503E97" w:rsidRPr="00503E97">
        <w:t xml:space="preserve"> within 5 years</w:t>
      </w:r>
      <w:r w:rsidR="00503E97">
        <w:t>. Production</w:t>
      </w:r>
      <w:r>
        <w:t>, consultation and approval of this</w:t>
      </w:r>
      <w:r w:rsidR="00503E97" w:rsidRPr="00503E97">
        <w:t xml:space="preserve"> new strategy prior to the expiry of the existing one, ensures that the Council</w:t>
      </w:r>
      <w:r>
        <w:t xml:space="preserve"> continues to meet</w:t>
      </w:r>
      <w:r w:rsidR="00503E97" w:rsidRPr="00503E97">
        <w:t xml:space="preserve"> its duties under the Localism Act 2011 (sections 150 and 151) and the Housing and Regeneration Act 2008 Part 2 Chapter 6 s196 and s197. (See also paragraph 1</w:t>
      </w:r>
      <w:r w:rsidR="00AB6E0A">
        <w:t>6</w:t>
      </w:r>
      <w:r w:rsidR="00503E97" w:rsidRPr="00503E97">
        <w:t xml:space="preserve"> below).</w:t>
      </w:r>
    </w:p>
    <w:p w:rsidR="00744D4F" w:rsidRDefault="00503E97" w:rsidP="00A52A50">
      <w:pPr>
        <w:pStyle w:val="ListParagraph"/>
        <w:numPr>
          <w:ilvl w:val="0"/>
          <w:numId w:val="0"/>
        </w:numPr>
        <w:ind w:left="426" w:hanging="426"/>
      </w:pPr>
      <w:r>
        <w:t>1</w:t>
      </w:r>
      <w:r w:rsidR="00AB6E0A">
        <w:t>5</w:t>
      </w:r>
      <w:r>
        <w:tab/>
        <w:t>Once Government guidance has been published, the Council will be required to follow Government guidelines and review this strategy in light of legislation introduced by the H</w:t>
      </w:r>
      <w:r w:rsidR="00B74A85">
        <w:t>ousing and Planning Act 2016 (Part 4, Chapter 6)</w:t>
      </w:r>
      <w:r>
        <w:t xml:space="preserve">. </w:t>
      </w:r>
    </w:p>
    <w:p w:rsidR="002329CF" w:rsidRPr="001356F1" w:rsidRDefault="002329CF" w:rsidP="004A6D2F">
      <w:pPr>
        <w:pStyle w:val="Heading1"/>
      </w:pPr>
      <w:r w:rsidRPr="001356F1">
        <w:t>Level of risk</w:t>
      </w:r>
    </w:p>
    <w:p w:rsidR="00BC69A4" w:rsidRPr="001356F1" w:rsidRDefault="00503E97" w:rsidP="000B5648">
      <w:pPr>
        <w:pStyle w:val="ListParagraph"/>
        <w:numPr>
          <w:ilvl w:val="0"/>
          <w:numId w:val="0"/>
        </w:numPr>
        <w:ind w:left="426" w:hanging="426"/>
      </w:pPr>
      <w:r>
        <w:t>1</w:t>
      </w:r>
      <w:r w:rsidR="00AB6E0A">
        <w:t>6</w:t>
      </w:r>
      <w:r w:rsidR="000B5648">
        <w:tab/>
      </w:r>
      <w:r w:rsidR="00B74A85">
        <w:t>If the</w:t>
      </w:r>
      <w:r>
        <w:t xml:space="preserve"> amended</w:t>
      </w:r>
      <w:r w:rsidR="00B74A85">
        <w:t xml:space="preserve"> </w:t>
      </w:r>
      <w:r w:rsidR="001F4A89">
        <w:t>Tenancy</w:t>
      </w:r>
      <w:r w:rsidR="0086116A">
        <w:t xml:space="preserve"> Strategy</w:t>
      </w:r>
      <w:r w:rsidR="00485629">
        <w:t xml:space="preserve"> </w:t>
      </w:r>
      <w:r w:rsidR="0086116A">
        <w:t>2018-2</w:t>
      </w:r>
      <w:r w:rsidR="00A52A50">
        <w:t>3 and associated appendices are</w:t>
      </w:r>
      <w:r w:rsidR="00B74A85">
        <w:t xml:space="preserve"> not approved,</w:t>
      </w:r>
      <w:r w:rsidR="0086116A">
        <w:t xml:space="preserve"> this will result in a delay in </w:t>
      </w:r>
      <w:r w:rsidR="00A52A50">
        <w:t xml:space="preserve">having a </w:t>
      </w:r>
      <w:r w:rsidR="009D4832">
        <w:t>new</w:t>
      </w:r>
      <w:r w:rsidR="0086116A">
        <w:t xml:space="preserve"> </w:t>
      </w:r>
      <w:r w:rsidR="00A52A50">
        <w:t>Tenancy Strategy and Tenancy Policy adopted in time to replace t</w:t>
      </w:r>
      <w:r w:rsidR="0086116A">
        <w:t xml:space="preserve">he existing </w:t>
      </w:r>
      <w:r w:rsidR="00A52A50">
        <w:t xml:space="preserve">documents when they </w:t>
      </w:r>
      <w:r w:rsidR="0086116A">
        <w:t xml:space="preserve">expire </w:t>
      </w:r>
      <w:r w:rsidR="001F4A89">
        <w:t xml:space="preserve">in </w:t>
      </w:r>
      <w:r w:rsidR="00A52A50">
        <w:t xml:space="preserve">summer </w:t>
      </w:r>
      <w:r w:rsidR="0086116A">
        <w:t xml:space="preserve">2018. This may result in the City Council being unable to meet its legislative obligations under the </w:t>
      </w:r>
      <w:r w:rsidR="001F4A89">
        <w:t>Localism Act 2011</w:t>
      </w:r>
      <w:r w:rsidR="0086116A">
        <w:t xml:space="preserve">. See Appendix </w:t>
      </w:r>
      <w:r w:rsidR="00726D40">
        <w:t>3</w:t>
      </w:r>
      <w:r w:rsidR="0086116A">
        <w:t xml:space="preserve">: </w:t>
      </w:r>
      <w:r w:rsidR="00151888" w:rsidRPr="001356F1">
        <w:t>R</w:t>
      </w:r>
      <w:r w:rsidR="002329CF" w:rsidRPr="001356F1">
        <w:t xml:space="preserve">isk </w:t>
      </w:r>
      <w:r w:rsidR="00151888" w:rsidRPr="001356F1">
        <w:t>R</w:t>
      </w:r>
      <w:r w:rsidR="0093067A" w:rsidRPr="001356F1">
        <w:t>egister.</w:t>
      </w:r>
    </w:p>
    <w:p w:rsidR="002329CF" w:rsidRPr="001356F1" w:rsidRDefault="002329CF" w:rsidP="0050321C">
      <w:pPr>
        <w:pStyle w:val="Heading1"/>
      </w:pPr>
      <w:r w:rsidRPr="001356F1">
        <w:t xml:space="preserve">Equalities impact </w:t>
      </w:r>
    </w:p>
    <w:p w:rsidR="007F5018" w:rsidRDefault="00744D4F" w:rsidP="007F5018">
      <w:pPr>
        <w:pStyle w:val="ListParagraph"/>
        <w:numPr>
          <w:ilvl w:val="0"/>
          <w:numId w:val="0"/>
        </w:numPr>
        <w:ind w:left="426" w:hanging="426"/>
      </w:pPr>
      <w:r>
        <w:t>1</w:t>
      </w:r>
      <w:r w:rsidR="00AB6E0A">
        <w:t>7</w:t>
      </w:r>
      <w:r w:rsidR="000B5648">
        <w:tab/>
      </w:r>
      <w:r w:rsidR="0086116A">
        <w:t xml:space="preserve">The </w:t>
      </w:r>
      <w:r w:rsidR="0093067A" w:rsidRPr="001356F1">
        <w:t>Equalities Impact Assessment</w:t>
      </w:r>
      <w:r w:rsidR="002329CF" w:rsidRPr="001356F1">
        <w:t xml:space="preserve"> </w:t>
      </w:r>
      <w:r w:rsidR="0086116A">
        <w:t xml:space="preserve">initial screening form is attached as Appendix </w:t>
      </w:r>
      <w:r w:rsidR="00726D40">
        <w:t>2</w:t>
      </w:r>
      <w:r w:rsidR="00E87F7A" w:rsidRPr="001356F1">
        <w:t>.</w:t>
      </w:r>
      <w:r w:rsidR="0086116A">
        <w:t xml:space="preserve"> No adverse equality implications </w:t>
      </w:r>
      <w:r w:rsidR="006F4122">
        <w:t xml:space="preserve">are evident at this stage. </w:t>
      </w:r>
      <w:r w:rsidR="00D25511">
        <w:t>The strategy seeks to secure affordable accommodation with security of tenure where possible for all those in housing need.</w:t>
      </w:r>
    </w:p>
    <w:p w:rsidR="007F5018" w:rsidRPr="001356F1" w:rsidRDefault="007F5018" w:rsidP="007F5018">
      <w:pPr>
        <w:pStyle w:val="Heading1"/>
      </w:pPr>
      <w:r>
        <w:t>Conclusion</w:t>
      </w:r>
    </w:p>
    <w:p w:rsidR="007F5018" w:rsidRDefault="00503E97" w:rsidP="00CC40D0">
      <w:pPr>
        <w:pStyle w:val="ListParagraph"/>
        <w:numPr>
          <w:ilvl w:val="0"/>
          <w:numId w:val="0"/>
        </w:numPr>
        <w:ind w:left="426" w:hanging="426"/>
      </w:pPr>
      <w:r>
        <w:t>1</w:t>
      </w:r>
      <w:r w:rsidR="00AB6E0A">
        <w:t>8</w:t>
      </w:r>
      <w:r w:rsidR="007F5018">
        <w:tab/>
        <w:t>A new Tenancy Strategy and Tenancy Policy 2018-2023 will enable the City Council to continue meeting its legislative obligations as a landlord and as a strategic local authority from 2018</w:t>
      </w:r>
      <w:r>
        <w:t>,</w:t>
      </w:r>
      <w:r w:rsidR="007F5018">
        <w:t xml:space="preserve"> and have an effective strategy in place to </w:t>
      </w:r>
      <w:r>
        <w:lastRenderedPageBreak/>
        <w:t xml:space="preserve">facilitate </w:t>
      </w:r>
      <w:r w:rsidR="007F5018">
        <w:t>the delivery of appropriate tenure and services to support the Oxford community going forward over the next five years</w:t>
      </w:r>
      <w:r>
        <w:t>.</w:t>
      </w:r>
    </w:p>
    <w:p w:rsidR="007F5018" w:rsidRPr="001356F1" w:rsidRDefault="007F5018" w:rsidP="00CC40D0">
      <w:pPr>
        <w:pStyle w:val="ListParagraph"/>
        <w:numPr>
          <w:ilvl w:val="0"/>
          <w:numId w:val="0"/>
        </w:numPr>
        <w:ind w:left="426" w:hanging="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E459E" w:rsidP="007E459E">
            <w:r>
              <w:t xml:space="preserve">Frances Evans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51270" w:rsidP="007E459E">
            <w:r>
              <w:t>Strategy &amp; Service D</w:t>
            </w:r>
            <w:r w:rsidR="007E459E">
              <w:t>evelopment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E459E" w:rsidP="007E459E">
            <w:r>
              <w:t>Housing &amp; Property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E459E">
            <w:r w:rsidRPr="001356F1">
              <w:t xml:space="preserve">01865 </w:t>
            </w:r>
            <w:r w:rsidR="007E459E">
              <w:t>252062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7E459E" w:rsidRPr="001356F1" w:rsidRDefault="00A7057C" w:rsidP="007E459E">
            <w:pPr>
              <w:rPr>
                <w:rStyle w:val="Hyperlink"/>
                <w:color w:val="000000"/>
              </w:rPr>
            </w:pPr>
            <w:hyperlink r:id="rId10" w:history="1">
              <w:r w:rsidR="007E459E" w:rsidRPr="00613D74">
                <w:rPr>
                  <w:rStyle w:val="Hyperlink"/>
                </w:rPr>
                <w:t>fevans@oxford.gov.uk</w:t>
              </w:r>
            </w:hyperlink>
            <w:r w:rsidR="007E459E">
              <w:rPr>
                <w:rStyle w:val="Hyperlink"/>
                <w:color w:val="000000"/>
              </w:rPr>
              <w:t xml:space="preserve">  </w:t>
            </w:r>
          </w:p>
        </w:tc>
      </w:tr>
    </w:tbl>
    <w:p w:rsidR="007F5018" w:rsidRPr="001356F1" w:rsidRDefault="007F5018"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9069"/>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D25511">
            <w:r w:rsidRPr="001356F1">
              <w:rPr>
                <w:rStyle w:val="Firstpagetablebold"/>
              </w:rPr>
              <w:t xml:space="preserve">Background Papers: </w:t>
            </w:r>
          </w:p>
        </w:tc>
      </w:tr>
      <w:tr w:rsidR="00DF093E" w:rsidRPr="001356F1" w:rsidTr="00701AF6">
        <w:tc>
          <w:tcPr>
            <w:tcW w:w="567" w:type="dxa"/>
            <w:tcBorders>
              <w:top w:val="single" w:sz="8" w:space="0" w:color="000000"/>
              <w:left w:val="single" w:sz="8" w:space="0" w:color="000000"/>
              <w:bottom w:val="nil"/>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nil"/>
              <w:right w:val="single" w:sz="8" w:space="0" w:color="000000"/>
            </w:tcBorders>
          </w:tcPr>
          <w:p w:rsidR="00D25511" w:rsidRDefault="001F4A89" w:rsidP="00D95844">
            <w:pPr>
              <w:spacing w:after="0"/>
            </w:pPr>
            <w:r>
              <w:t>Tenancy Strategy and Policy Statement 2013</w:t>
            </w:r>
            <w:r w:rsidR="007E459E">
              <w:t>-18</w:t>
            </w:r>
          </w:p>
          <w:p w:rsidR="005F431B" w:rsidRDefault="00A7057C" w:rsidP="00D95844">
            <w:pPr>
              <w:spacing w:after="0"/>
            </w:pPr>
            <w:hyperlink r:id="rId11" w:history="1">
              <w:r w:rsidR="005F431B" w:rsidRPr="00902CC7">
                <w:rPr>
                  <w:rStyle w:val="Hyperlink"/>
                </w:rPr>
                <w:t>https://www.oxford.gov.uk/downloads/file/912/tenancy_strategy_and_policy_statement_2013</w:t>
              </w:r>
            </w:hyperlink>
          </w:p>
          <w:p w:rsidR="005F431B" w:rsidRPr="001356F1" w:rsidRDefault="005F431B" w:rsidP="00D95844">
            <w:pPr>
              <w:spacing w:after="0"/>
            </w:pPr>
          </w:p>
        </w:tc>
      </w:tr>
      <w:tr w:rsidR="00DF093E" w:rsidRPr="001356F1" w:rsidTr="00701AF6">
        <w:tc>
          <w:tcPr>
            <w:tcW w:w="567" w:type="dxa"/>
            <w:tcBorders>
              <w:top w:val="nil"/>
              <w:left w:val="single" w:sz="8" w:space="0" w:color="000000"/>
              <w:bottom w:val="single" w:sz="4" w:space="0" w:color="auto"/>
              <w:right w:val="nil"/>
            </w:tcBorders>
            <w:shd w:val="clear" w:color="auto" w:fill="auto"/>
          </w:tcPr>
          <w:p w:rsidR="0093067A" w:rsidRPr="001356F1" w:rsidRDefault="00D25511" w:rsidP="00F41AC1">
            <w:r>
              <w:t>2</w:t>
            </w:r>
          </w:p>
        </w:tc>
        <w:tc>
          <w:tcPr>
            <w:tcW w:w="8364" w:type="dxa"/>
            <w:tcBorders>
              <w:top w:val="nil"/>
              <w:left w:val="nil"/>
              <w:bottom w:val="single" w:sz="4" w:space="0" w:color="auto"/>
              <w:right w:val="single" w:sz="8" w:space="0" w:color="000000"/>
            </w:tcBorders>
          </w:tcPr>
          <w:p w:rsidR="00EF16D8" w:rsidRPr="001356F1" w:rsidRDefault="00D25511" w:rsidP="00EF16D8">
            <w:pPr>
              <w:spacing w:after="0"/>
            </w:pPr>
            <w:r>
              <w:t>Housing and Homelessness Strategy 2018-21</w:t>
            </w:r>
            <w:r w:rsidR="00EF16D8">
              <w:t xml:space="preserve"> </w:t>
            </w:r>
            <w:hyperlink r:id="rId12" w:history="1">
              <w:r w:rsidR="00EF16D8" w:rsidRPr="00EE1BC7">
                <w:rPr>
                  <w:rStyle w:val="Hyperlink"/>
                </w:rPr>
                <w:t>https://www.oxford.gov.uk/downloads/download/254/homelessness_strategy</w:t>
              </w:r>
            </w:hyperlink>
          </w:p>
        </w:tc>
      </w:tr>
    </w:tbl>
    <w:p w:rsidR="00311899" w:rsidRDefault="00311899" w:rsidP="00C85B4E">
      <w:pPr>
        <w:rPr>
          <w:b/>
        </w:rPr>
      </w:pPr>
    </w:p>
    <w:p w:rsidR="00311899" w:rsidRDefault="00311899" w:rsidP="00C85B4E">
      <w:pPr>
        <w:rPr>
          <w:b/>
        </w:rPr>
      </w:pPr>
    </w:p>
    <w:p w:rsidR="00311899" w:rsidRDefault="00311899" w:rsidP="00C85B4E">
      <w:pPr>
        <w:rPr>
          <w:b/>
        </w:rPr>
      </w:pPr>
    </w:p>
    <w:p w:rsidR="00AB6E0A" w:rsidRDefault="00AB6E0A" w:rsidP="00C85B4E">
      <w:pPr>
        <w:rPr>
          <w:b/>
        </w:rPr>
      </w:pPr>
    </w:p>
    <w:p w:rsidR="00AB6E0A" w:rsidRDefault="00AB6E0A" w:rsidP="00C85B4E">
      <w:pPr>
        <w:rPr>
          <w:b/>
        </w:rPr>
      </w:pPr>
    </w:p>
    <w:p w:rsidR="00AB6E0A" w:rsidRDefault="00AB6E0A" w:rsidP="00C85B4E">
      <w:pPr>
        <w:rPr>
          <w:b/>
        </w:rPr>
      </w:pPr>
    </w:p>
    <w:p w:rsidR="00AB6E0A" w:rsidRDefault="00AB6E0A" w:rsidP="00C85B4E">
      <w:pPr>
        <w:rPr>
          <w:b/>
        </w:rPr>
      </w:pPr>
    </w:p>
    <w:p w:rsidR="00AB6E0A" w:rsidRDefault="00AB6E0A" w:rsidP="00C85B4E">
      <w:pPr>
        <w:rPr>
          <w:b/>
        </w:rPr>
      </w:pPr>
    </w:p>
    <w:p w:rsidR="00AB6E0A" w:rsidRDefault="00AB6E0A" w:rsidP="00C85B4E">
      <w:pPr>
        <w:rPr>
          <w:b/>
        </w:rPr>
      </w:pPr>
    </w:p>
    <w:p w:rsidR="00AB6E0A" w:rsidRDefault="00AB6E0A" w:rsidP="00C85B4E">
      <w:pPr>
        <w:rPr>
          <w:b/>
        </w:rPr>
      </w:pPr>
    </w:p>
    <w:p w:rsidR="00AB6E0A" w:rsidRDefault="00AB6E0A" w:rsidP="00C85B4E">
      <w:pPr>
        <w:rPr>
          <w:b/>
        </w:rPr>
      </w:pPr>
    </w:p>
    <w:p w:rsidR="00AB6E0A" w:rsidRDefault="00AB6E0A" w:rsidP="00C85B4E">
      <w:pPr>
        <w:rPr>
          <w:b/>
        </w:rPr>
      </w:pPr>
    </w:p>
    <w:p w:rsidR="00AB6E0A" w:rsidRDefault="00AB6E0A" w:rsidP="00C85B4E">
      <w:pPr>
        <w:rPr>
          <w:b/>
        </w:rPr>
      </w:pPr>
    </w:p>
    <w:p w:rsidR="00AB6E0A" w:rsidRDefault="00AB6E0A" w:rsidP="00C85B4E">
      <w:pPr>
        <w:rPr>
          <w:b/>
        </w:rPr>
      </w:pPr>
    </w:p>
    <w:p w:rsidR="00AB6E0A" w:rsidRDefault="00AB6E0A" w:rsidP="00C85B4E">
      <w:pPr>
        <w:rPr>
          <w:b/>
        </w:rPr>
      </w:pPr>
    </w:p>
    <w:p w:rsidR="00AB6E0A" w:rsidRDefault="00AB6E0A" w:rsidP="00C85B4E">
      <w:pPr>
        <w:rPr>
          <w:b/>
        </w:rPr>
      </w:pPr>
    </w:p>
    <w:p w:rsidR="00311899" w:rsidRDefault="00311899" w:rsidP="00C85B4E">
      <w:pPr>
        <w:rPr>
          <w:b/>
        </w:rPr>
      </w:pPr>
    </w:p>
    <w:p w:rsidR="00311899" w:rsidRDefault="00311899" w:rsidP="00C85B4E">
      <w:pPr>
        <w:rPr>
          <w:b/>
        </w:rPr>
      </w:pPr>
    </w:p>
    <w:p w:rsidR="00311899" w:rsidRDefault="00311899" w:rsidP="00C85B4E">
      <w:pPr>
        <w:rPr>
          <w:b/>
        </w:rPr>
      </w:pPr>
    </w:p>
    <w:sectPr w:rsidR="00311899"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83" w:rsidRDefault="00470883" w:rsidP="004A6D2F">
      <w:r>
        <w:separator/>
      </w:r>
    </w:p>
  </w:endnote>
  <w:endnote w:type="continuationSeparator" w:id="0">
    <w:p w:rsidR="00470883" w:rsidRDefault="0047088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0B5648" w:rsidP="004A6D2F">
    <w:pPr>
      <w:pStyle w:val="Footer"/>
    </w:pPr>
    <w:r>
      <w:t>Do not use a footer or page numbers.</w:t>
    </w:r>
  </w:p>
  <w:p w:rsidR="000B5648" w:rsidRDefault="000B5648" w:rsidP="004A6D2F">
    <w:pPr>
      <w:pStyle w:val="Footer"/>
    </w:pPr>
  </w:p>
  <w:p w:rsidR="000B5648" w:rsidRDefault="000B564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0B564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83" w:rsidRDefault="00470883" w:rsidP="004A6D2F">
      <w:r>
        <w:separator/>
      </w:r>
    </w:p>
  </w:footnote>
  <w:footnote w:type="continuationSeparator" w:id="0">
    <w:p w:rsidR="00470883" w:rsidRDefault="0047088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724AA3" w:rsidP="00D5547E">
    <w:pPr>
      <w:pStyle w:val="Header"/>
      <w:jc w:val="right"/>
    </w:pPr>
    <w:r>
      <w:rPr>
        <w:noProof/>
      </w:rPr>
      <w:drawing>
        <wp:inline distT="0" distB="0" distL="0" distR="0" wp14:anchorId="0B52B125" wp14:editId="7E627F53">
          <wp:extent cx="838200" cy="112395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338"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EC4E1D"/>
    <w:multiLevelType w:val="hybridMultilevel"/>
    <w:tmpl w:val="F260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3831BCB"/>
    <w:multiLevelType w:val="multilevel"/>
    <w:tmpl w:val="2DFA2740"/>
    <w:lvl w:ilvl="0">
      <w:start w:val="4"/>
      <w:numFmt w:val="decimal"/>
      <w:lvlText w:val="%1"/>
      <w:lvlJc w:val="left"/>
      <w:pPr>
        <w:ind w:left="360" w:hanging="360"/>
      </w:pPr>
      <w:rPr>
        <w:rFonts w:hint="default"/>
      </w:rPr>
    </w:lvl>
    <w:lvl w:ilvl="1">
      <w:start w:val="1"/>
      <w:numFmt w:val="decimal"/>
      <w:lvlText w:val="%1.%2"/>
      <w:lvlJc w:val="left"/>
      <w:pPr>
        <w:ind w:left="1794"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272" w:hanging="1800"/>
      </w:pPr>
      <w:rPr>
        <w:rFonts w:hint="default"/>
      </w:rPr>
    </w:lvl>
  </w:abstractNum>
  <w:abstractNum w:abstractNumId="5">
    <w:nsid w:val="3167043C"/>
    <w:multiLevelType w:val="multilevel"/>
    <w:tmpl w:val="07025160"/>
    <w:lvl w:ilvl="0">
      <w:start w:val="4"/>
      <w:numFmt w:val="decimal"/>
      <w:lvlText w:val="%1"/>
      <w:lvlJc w:val="left"/>
      <w:pPr>
        <w:ind w:left="360" w:hanging="360"/>
      </w:pPr>
      <w:rPr>
        <w:rFonts w:hint="default"/>
        <w:b w:val="0"/>
      </w:rPr>
    </w:lvl>
    <w:lvl w:ilvl="1">
      <w:start w:val="1"/>
      <w:numFmt w:val="decimal"/>
      <w:lvlText w:val="%1.%2"/>
      <w:lvlJc w:val="left"/>
      <w:pPr>
        <w:ind w:left="3953" w:hanging="360"/>
      </w:pPr>
      <w:rPr>
        <w:rFonts w:hint="default"/>
      </w:rPr>
    </w:lvl>
    <w:lvl w:ilvl="2">
      <w:start w:val="1"/>
      <w:numFmt w:val="decimal"/>
      <w:lvlText w:val="%1.%2.%3"/>
      <w:lvlJc w:val="left"/>
      <w:pPr>
        <w:ind w:left="7906" w:hanging="720"/>
      </w:pPr>
      <w:rPr>
        <w:rFonts w:hint="default"/>
      </w:rPr>
    </w:lvl>
    <w:lvl w:ilvl="3">
      <w:start w:val="1"/>
      <w:numFmt w:val="decimal"/>
      <w:lvlText w:val="%1.%2.%3.%4"/>
      <w:lvlJc w:val="left"/>
      <w:pPr>
        <w:ind w:left="11859" w:hanging="1080"/>
      </w:pPr>
      <w:rPr>
        <w:rFonts w:hint="default"/>
      </w:rPr>
    </w:lvl>
    <w:lvl w:ilvl="4">
      <w:start w:val="1"/>
      <w:numFmt w:val="decimal"/>
      <w:lvlText w:val="%1.%2.%3.%4.%5"/>
      <w:lvlJc w:val="left"/>
      <w:pPr>
        <w:ind w:left="15452" w:hanging="1080"/>
      </w:pPr>
      <w:rPr>
        <w:rFonts w:hint="default"/>
      </w:rPr>
    </w:lvl>
    <w:lvl w:ilvl="5">
      <w:start w:val="1"/>
      <w:numFmt w:val="decimal"/>
      <w:lvlText w:val="%1.%2.%3.%4.%5.%6"/>
      <w:lvlJc w:val="left"/>
      <w:pPr>
        <w:ind w:left="19405" w:hanging="1440"/>
      </w:pPr>
      <w:rPr>
        <w:rFonts w:hint="default"/>
      </w:rPr>
    </w:lvl>
    <w:lvl w:ilvl="6">
      <w:start w:val="1"/>
      <w:numFmt w:val="decimal"/>
      <w:lvlText w:val="%1.%2.%3.%4.%5.%6.%7"/>
      <w:lvlJc w:val="left"/>
      <w:pPr>
        <w:ind w:left="22998" w:hanging="1440"/>
      </w:pPr>
      <w:rPr>
        <w:rFonts w:hint="default"/>
      </w:rPr>
    </w:lvl>
    <w:lvl w:ilvl="7">
      <w:start w:val="1"/>
      <w:numFmt w:val="decimal"/>
      <w:lvlText w:val="%1.%2.%3.%4.%5.%6.%7.%8"/>
      <w:lvlJc w:val="left"/>
      <w:pPr>
        <w:ind w:left="26951" w:hanging="1800"/>
      </w:pPr>
      <w:rPr>
        <w:rFonts w:hint="default"/>
      </w:rPr>
    </w:lvl>
    <w:lvl w:ilvl="8">
      <w:start w:val="1"/>
      <w:numFmt w:val="decimal"/>
      <w:lvlText w:val="%1.%2.%3.%4.%5.%6.%7.%8.%9"/>
      <w:lvlJc w:val="left"/>
      <w:pPr>
        <w:ind w:left="30544" w:hanging="1800"/>
      </w:pPr>
      <w:rPr>
        <w:rFonts w:hint="default"/>
      </w:rPr>
    </w:lvl>
  </w:abstractNum>
  <w:abstractNum w:abstractNumId="6">
    <w:nsid w:val="4F9A1B40"/>
    <w:multiLevelType w:val="hybridMultilevel"/>
    <w:tmpl w:val="5E3A5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80F05F0"/>
    <w:multiLevelType w:val="multilevel"/>
    <w:tmpl w:val="D1124FDC"/>
    <w:lvl w:ilvl="0">
      <w:start w:val="2"/>
      <w:numFmt w:val="decimal"/>
      <w:lvlText w:val="%1"/>
      <w:lvlJc w:val="left"/>
      <w:pPr>
        <w:ind w:left="360" w:hanging="360"/>
      </w:pPr>
      <w:rPr>
        <w:rFonts w:hint="default"/>
      </w:rPr>
    </w:lvl>
    <w:lvl w:ilvl="1">
      <w:start w:val="1"/>
      <w:numFmt w:val="decimal"/>
      <w:lvlText w:val="%1.%2"/>
      <w:lvlJc w:val="left"/>
      <w:pPr>
        <w:ind w:left="1794"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272" w:hanging="1800"/>
      </w:pPr>
      <w:rPr>
        <w:rFonts w:hint="default"/>
      </w:rPr>
    </w:lvl>
  </w:abstractNum>
  <w:abstractNum w:abstractNumId="8">
    <w:nsid w:val="5D1E1833"/>
    <w:multiLevelType w:val="hybridMultilevel"/>
    <w:tmpl w:val="28A252F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98365C6"/>
    <w:multiLevelType w:val="multilevel"/>
    <w:tmpl w:val="E67CE66C"/>
    <w:numStyleLink w:val="StyleNumberedLeft0cmHanging075cm"/>
  </w:abstractNum>
  <w:num w:numId="1">
    <w:abstractNumId w:val="0"/>
  </w:num>
  <w:num w:numId="2">
    <w:abstractNumId w:val="10"/>
    <w:lvlOverride w:ilvl="0">
      <w:lvl w:ilvl="0">
        <w:start w:val="1"/>
        <w:numFmt w:val="decimal"/>
        <w:pStyle w:val="ListParagraph"/>
        <w:lvlText w:val="%1."/>
        <w:lvlJc w:val="left"/>
        <w:pPr>
          <w:ind w:left="3338" w:hanging="360"/>
        </w:pPr>
        <w:rPr>
          <w:rFonts w:ascii="Arial" w:hAnsi="Arial"/>
          <w:b w:val="0"/>
          <w:color w:val="000000"/>
          <w:sz w:val="24"/>
        </w:rPr>
      </w:lvl>
    </w:lvlOverride>
  </w:num>
  <w:num w:numId="3">
    <w:abstractNumId w:val="3"/>
  </w:num>
  <w:num w:numId="4">
    <w:abstractNumId w:val="1"/>
  </w:num>
  <w:num w:numId="5">
    <w:abstractNumId w:val="9"/>
  </w:num>
  <w:num w:numId="6">
    <w:abstractNumId w:val="2"/>
  </w:num>
  <w:num w:numId="7">
    <w:abstractNumId w:val="8"/>
  </w:num>
  <w:num w:numId="8">
    <w:abstractNumId w:val="6"/>
  </w:num>
  <w:num w:numId="9">
    <w:abstractNumId w:val="7"/>
  </w:num>
  <w:num w:numId="10">
    <w:abstractNumId w:val="4"/>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80"/>
    <w:rsid w:val="000006D0"/>
    <w:rsid w:val="000117D4"/>
    <w:rsid w:val="000314D7"/>
    <w:rsid w:val="00040498"/>
    <w:rsid w:val="00042B2F"/>
    <w:rsid w:val="00045F8B"/>
    <w:rsid w:val="00046D2B"/>
    <w:rsid w:val="00051DB4"/>
    <w:rsid w:val="00056263"/>
    <w:rsid w:val="00064D8A"/>
    <w:rsid w:val="00064F82"/>
    <w:rsid w:val="00066510"/>
    <w:rsid w:val="00077523"/>
    <w:rsid w:val="00091471"/>
    <w:rsid w:val="000B2EA9"/>
    <w:rsid w:val="000B5648"/>
    <w:rsid w:val="000C089F"/>
    <w:rsid w:val="000C3928"/>
    <w:rsid w:val="000C5E8E"/>
    <w:rsid w:val="000E24C6"/>
    <w:rsid w:val="000F4751"/>
    <w:rsid w:val="0010524C"/>
    <w:rsid w:val="00111FB1"/>
    <w:rsid w:val="00113418"/>
    <w:rsid w:val="00122D13"/>
    <w:rsid w:val="001356F1"/>
    <w:rsid w:val="00136994"/>
    <w:rsid w:val="0014128E"/>
    <w:rsid w:val="00144BA4"/>
    <w:rsid w:val="00151888"/>
    <w:rsid w:val="00154E85"/>
    <w:rsid w:val="00170A2D"/>
    <w:rsid w:val="001808BC"/>
    <w:rsid w:val="00182B81"/>
    <w:rsid w:val="0018619D"/>
    <w:rsid w:val="00187187"/>
    <w:rsid w:val="00195F7C"/>
    <w:rsid w:val="001A011E"/>
    <w:rsid w:val="001A066A"/>
    <w:rsid w:val="001A13E6"/>
    <w:rsid w:val="001A14A9"/>
    <w:rsid w:val="001A5731"/>
    <w:rsid w:val="001B1733"/>
    <w:rsid w:val="001B42C3"/>
    <w:rsid w:val="001C5D5E"/>
    <w:rsid w:val="001D678D"/>
    <w:rsid w:val="001D6F2A"/>
    <w:rsid w:val="001E03F8"/>
    <w:rsid w:val="001E1678"/>
    <w:rsid w:val="001E2A04"/>
    <w:rsid w:val="001E3376"/>
    <w:rsid w:val="001E61E2"/>
    <w:rsid w:val="001F38AE"/>
    <w:rsid w:val="001F4A89"/>
    <w:rsid w:val="001F7CC8"/>
    <w:rsid w:val="002069B3"/>
    <w:rsid w:val="00210C4B"/>
    <w:rsid w:val="00221E70"/>
    <w:rsid w:val="002329CF"/>
    <w:rsid w:val="00232F5B"/>
    <w:rsid w:val="00234957"/>
    <w:rsid w:val="00247C29"/>
    <w:rsid w:val="00260467"/>
    <w:rsid w:val="00263EA3"/>
    <w:rsid w:val="00266118"/>
    <w:rsid w:val="00281B19"/>
    <w:rsid w:val="00284F85"/>
    <w:rsid w:val="00290915"/>
    <w:rsid w:val="00294220"/>
    <w:rsid w:val="00295610"/>
    <w:rsid w:val="002968AC"/>
    <w:rsid w:val="002A22E2"/>
    <w:rsid w:val="002A529D"/>
    <w:rsid w:val="002B1644"/>
    <w:rsid w:val="002C64F7"/>
    <w:rsid w:val="002D0BDA"/>
    <w:rsid w:val="002D3EE2"/>
    <w:rsid w:val="002E0A11"/>
    <w:rsid w:val="002E0FEC"/>
    <w:rsid w:val="002E7918"/>
    <w:rsid w:val="002F41F2"/>
    <w:rsid w:val="002F7BE9"/>
    <w:rsid w:val="00300063"/>
    <w:rsid w:val="00300273"/>
    <w:rsid w:val="00301BF3"/>
    <w:rsid w:val="0030208D"/>
    <w:rsid w:val="00305112"/>
    <w:rsid w:val="00311899"/>
    <w:rsid w:val="003157FB"/>
    <w:rsid w:val="00317390"/>
    <w:rsid w:val="00323418"/>
    <w:rsid w:val="003357BF"/>
    <w:rsid w:val="003467CF"/>
    <w:rsid w:val="00364FAD"/>
    <w:rsid w:val="0036738F"/>
    <w:rsid w:val="0036759C"/>
    <w:rsid w:val="00367AE5"/>
    <w:rsid w:val="00367D71"/>
    <w:rsid w:val="00373847"/>
    <w:rsid w:val="0038049B"/>
    <w:rsid w:val="0038150A"/>
    <w:rsid w:val="00397BB3"/>
    <w:rsid w:val="003B1283"/>
    <w:rsid w:val="003B6E75"/>
    <w:rsid w:val="003B7DA1"/>
    <w:rsid w:val="003C6499"/>
    <w:rsid w:val="003D0379"/>
    <w:rsid w:val="003D2574"/>
    <w:rsid w:val="003D4C59"/>
    <w:rsid w:val="003E1171"/>
    <w:rsid w:val="003E7053"/>
    <w:rsid w:val="003F417A"/>
    <w:rsid w:val="003F4267"/>
    <w:rsid w:val="003F73B6"/>
    <w:rsid w:val="00404032"/>
    <w:rsid w:val="00404309"/>
    <w:rsid w:val="0040736F"/>
    <w:rsid w:val="00412C1F"/>
    <w:rsid w:val="00421CB2"/>
    <w:rsid w:val="004268B9"/>
    <w:rsid w:val="004335C7"/>
    <w:rsid w:val="00433B96"/>
    <w:rsid w:val="004416D9"/>
    <w:rsid w:val="004440F1"/>
    <w:rsid w:val="004456DD"/>
    <w:rsid w:val="00446CDF"/>
    <w:rsid w:val="004476AA"/>
    <w:rsid w:val="004521B7"/>
    <w:rsid w:val="00462AB5"/>
    <w:rsid w:val="00465EAF"/>
    <w:rsid w:val="00470883"/>
    <w:rsid w:val="004738C5"/>
    <w:rsid w:val="00485629"/>
    <w:rsid w:val="004907CF"/>
    <w:rsid w:val="00491046"/>
    <w:rsid w:val="004A2AC7"/>
    <w:rsid w:val="004A6D2F"/>
    <w:rsid w:val="004B1161"/>
    <w:rsid w:val="004C2887"/>
    <w:rsid w:val="004D2626"/>
    <w:rsid w:val="004D6E26"/>
    <w:rsid w:val="004D77D3"/>
    <w:rsid w:val="004E01E2"/>
    <w:rsid w:val="004E2959"/>
    <w:rsid w:val="004E32EF"/>
    <w:rsid w:val="004E49B8"/>
    <w:rsid w:val="004E6C32"/>
    <w:rsid w:val="004F20EF"/>
    <w:rsid w:val="005024AF"/>
    <w:rsid w:val="0050321C"/>
    <w:rsid w:val="00503C37"/>
    <w:rsid w:val="00503E97"/>
    <w:rsid w:val="00506C17"/>
    <w:rsid w:val="0054712D"/>
    <w:rsid w:val="0054717E"/>
    <w:rsid w:val="00547EF6"/>
    <w:rsid w:val="005570B5"/>
    <w:rsid w:val="00567E18"/>
    <w:rsid w:val="00575F5F"/>
    <w:rsid w:val="00581805"/>
    <w:rsid w:val="00585F76"/>
    <w:rsid w:val="00591225"/>
    <w:rsid w:val="005A01FE"/>
    <w:rsid w:val="005A1AA5"/>
    <w:rsid w:val="005A1C58"/>
    <w:rsid w:val="005A34E4"/>
    <w:rsid w:val="005B17F2"/>
    <w:rsid w:val="005B7FB0"/>
    <w:rsid w:val="005C35A5"/>
    <w:rsid w:val="005C577C"/>
    <w:rsid w:val="005D0621"/>
    <w:rsid w:val="005D1E27"/>
    <w:rsid w:val="005D2A3E"/>
    <w:rsid w:val="005D2A9C"/>
    <w:rsid w:val="005D2B98"/>
    <w:rsid w:val="005D2D6E"/>
    <w:rsid w:val="005D4E02"/>
    <w:rsid w:val="005E022E"/>
    <w:rsid w:val="005E5215"/>
    <w:rsid w:val="005F431B"/>
    <w:rsid w:val="005F7F7E"/>
    <w:rsid w:val="0061136D"/>
    <w:rsid w:val="00614693"/>
    <w:rsid w:val="00614C10"/>
    <w:rsid w:val="00623C2F"/>
    <w:rsid w:val="006243AE"/>
    <w:rsid w:val="006305AF"/>
    <w:rsid w:val="00630E54"/>
    <w:rsid w:val="00630ED7"/>
    <w:rsid w:val="00633578"/>
    <w:rsid w:val="00637068"/>
    <w:rsid w:val="00637780"/>
    <w:rsid w:val="00650811"/>
    <w:rsid w:val="00661D3E"/>
    <w:rsid w:val="00682E3F"/>
    <w:rsid w:val="0069162E"/>
    <w:rsid w:val="00692627"/>
    <w:rsid w:val="006969E7"/>
    <w:rsid w:val="006A3643"/>
    <w:rsid w:val="006B32AA"/>
    <w:rsid w:val="006C15C4"/>
    <w:rsid w:val="006C2A29"/>
    <w:rsid w:val="006C64CF"/>
    <w:rsid w:val="006D116D"/>
    <w:rsid w:val="006D17B1"/>
    <w:rsid w:val="006D1EC8"/>
    <w:rsid w:val="006D4752"/>
    <w:rsid w:val="006D708A"/>
    <w:rsid w:val="006E1069"/>
    <w:rsid w:val="006E14C1"/>
    <w:rsid w:val="006E4376"/>
    <w:rsid w:val="006F0292"/>
    <w:rsid w:val="006F27FA"/>
    <w:rsid w:val="006F4122"/>
    <w:rsid w:val="006F416B"/>
    <w:rsid w:val="006F519B"/>
    <w:rsid w:val="007018C0"/>
    <w:rsid w:val="00701AF6"/>
    <w:rsid w:val="00713675"/>
    <w:rsid w:val="00715823"/>
    <w:rsid w:val="00724AA3"/>
    <w:rsid w:val="00726D40"/>
    <w:rsid w:val="00731E00"/>
    <w:rsid w:val="00737B93"/>
    <w:rsid w:val="00744D4F"/>
    <w:rsid w:val="00745BF0"/>
    <w:rsid w:val="00751270"/>
    <w:rsid w:val="007615FE"/>
    <w:rsid w:val="0076655C"/>
    <w:rsid w:val="007742DC"/>
    <w:rsid w:val="00781996"/>
    <w:rsid w:val="00791437"/>
    <w:rsid w:val="0079646F"/>
    <w:rsid w:val="007B0C2C"/>
    <w:rsid w:val="007B278E"/>
    <w:rsid w:val="007B6C11"/>
    <w:rsid w:val="007C461F"/>
    <w:rsid w:val="007C4A14"/>
    <w:rsid w:val="007C5C23"/>
    <w:rsid w:val="007C7FB1"/>
    <w:rsid w:val="007D128F"/>
    <w:rsid w:val="007D3C15"/>
    <w:rsid w:val="007E2A26"/>
    <w:rsid w:val="007E459E"/>
    <w:rsid w:val="007F2348"/>
    <w:rsid w:val="007F5018"/>
    <w:rsid w:val="007F5D26"/>
    <w:rsid w:val="00803F07"/>
    <w:rsid w:val="0080749A"/>
    <w:rsid w:val="008171FE"/>
    <w:rsid w:val="00821FB8"/>
    <w:rsid w:val="00822ACD"/>
    <w:rsid w:val="00837940"/>
    <w:rsid w:val="00851223"/>
    <w:rsid w:val="00855C66"/>
    <w:rsid w:val="0086116A"/>
    <w:rsid w:val="00871EE4"/>
    <w:rsid w:val="008A5979"/>
    <w:rsid w:val="008B293F"/>
    <w:rsid w:val="008B7371"/>
    <w:rsid w:val="008D059E"/>
    <w:rsid w:val="008D3DDB"/>
    <w:rsid w:val="008F2EB6"/>
    <w:rsid w:val="008F573F"/>
    <w:rsid w:val="009034EC"/>
    <w:rsid w:val="0093067A"/>
    <w:rsid w:val="009327A7"/>
    <w:rsid w:val="00935B56"/>
    <w:rsid w:val="00941C60"/>
    <w:rsid w:val="0094270A"/>
    <w:rsid w:val="00944506"/>
    <w:rsid w:val="009548DC"/>
    <w:rsid w:val="00964356"/>
    <w:rsid w:val="00966D42"/>
    <w:rsid w:val="00971689"/>
    <w:rsid w:val="00973E90"/>
    <w:rsid w:val="00975B07"/>
    <w:rsid w:val="00980B4A"/>
    <w:rsid w:val="00980E98"/>
    <w:rsid w:val="00983453"/>
    <w:rsid w:val="00997381"/>
    <w:rsid w:val="009A3D6E"/>
    <w:rsid w:val="009B5FFB"/>
    <w:rsid w:val="009B6D39"/>
    <w:rsid w:val="009C22FF"/>
    <w:rsid w:val="009D4832"/>
    <w:rsid w:val="009E3101"/>
    <w:rsid w:val="009E3D0A"/>
    <w:rsid w:val="009E51FC"/>
    <w:rsid w:val="009F1D28"/>
    <w:rsid w:val="009F7618"/>
    <w:rsid w:val="00A04D23"/>
    <w:rsid w:val="00A06766"/>
    <w:rsid w:val="00A06EEA"/>
    <w:rsid w:val="00A13765"/>
    <w:rsid w:val="00A21B12"/>
    <w:rsid w:val="00A23F80"/>
    <w:rsid w:val="00A37996"/>
    <w:rsid w:val="00A46E98"/>
    <w:rsid w:val="00A52A50"/>
    <w:rsid w:val="00A53B19"/>
    <w:rsid w:val="00A6352B"/>
    <w:rsid w:val="00A701B5"/>
    <w:rsid w:val="00A7057C"/>
    <w:rsid w:val="00A714BB"/>
    <w:rsid w:val="00A77C81"/>
    <w:rsid w:val="00A92D8F"/>
    <w:rsid w:val="00AB2988"/>
    <w:rsid w:val="00AB52CD"/>
    <w:rsid w:val="00AB6E0A"/>
    <w:rsid w:val="00AB7999"/>
    <w:rsid w:val="00AD2F88"/>
    <w:rsid w:val="00AD3292"/>
    <w:rsid w:val="00AD4FC0"/>
    <w:rsid w:val="00AD7B90"/>
    <w:rsid w:val="00AE4E0A"/>
    <w:rsid w:val="00AE7AF0"/>
    <w:rsid w:val="00AE7C94"/>
    <w:rsid w:val="00AF2927"/>
    <w:rsid w:val="00B04AB3"/>
    <w:rsid w:val="00B111C9"/>
    <w:rsid w:val="00B25400"/>
    <w:rsid w:val="00B40467"/>
    <w:rsid w:val="00B41B09"/>
    <w:rsid w:val="00B500CA"/>
    <w:rsid w:val="00B52727"/>
    <w:rsid w:val="00B5777B"/>
    <w:rsid w:val="00B74A85"/>
    <w:rsid w:val="00B86314"/>
    <w:rsid w:val="00B868EB"/>
    <w:rsid w:val="00BA1C2E"/>
    <w:rsid w:val="00BA41A4"/>
    <w:rsid w:val="00BC200B"/>
    <w:rsid w:val="00BC4756"/>
    <w:rsid w:val="00BC69A4"/>
    <w:rsid w:val="00BD16AD"/>
    <w:rsid w:val="00BE0680"/>
    <w:rsid w:val="00BE305F"/>
    <w:rsid w:val="00BE7BA3"/>
    <w:rsid w:val="00BF26AF"/>
    <w:rsid w:val="00BF5682"/>
    <w:rsid w:val="00BF7B09"/>
    <w:rsid w:val="00C07943"/>
    <w:rsid w:val="00C20A95"/>
    <w:rsid w:val="00C2692F"/>
    <w:rsid w:val="00C3207C"/>
    <w:rsid w:val="00C36B2A"/>
    <w:rsid w:val="00C400E1"/>
    <w:rsid w:val="00C41187"/>
    <w:rsid w:val="00C625AF"/>
    <w:rsid w:val="00C63C31"/>
    <w:rsid w:val="00C709B1"/>
    <w:rsid w:val="00C757A0"/>
    <w:rsid w:val="00C760DE"/>
    <w:rsid w:val="00C81280"/>
    <w:rsid w:val="00C82630"/>
    <w:rsid w:val="00C85B4E"/>
    <w:rsid w:val="00C907F7"/>
    <w:rsid w:val="00CA2103"/>
    <w:rsid w:val="00CA2689"/>
    <w:rsid w:val="00CB057F"/>
    <w:rsid w:val="00CB539D"/>
    <w:rsid w:val="00CB6B99"/>
    <w:rsid w:val="00CC40D0"/>
    <w:rsid w:val="00CD190E"/>
    <w:rsid w:val="00CE0D48"/>
    <w:rsid w:val="00CE2FA7"/>
    <w:rsid w:val="00CE4C87"/>
    <w:rsid w:val="00CE544A"/>
    <w:rsid w:val="00CF76BB"/>
    <w:rsid w:val="00D11E1C"/>
    <w:rsid w:val="00D160B0"/>
    <w:rsid w:val="00D17A64"/>
    <w:rsid w:val="00D17F94"/>
    <w:rsid w:val="00D223FC"/>
    <w:rsid w:val="00D25511"/>
    <w:rsid w:val="00D26D1E"/>
    <w:rsid w:val="00D32756"/>
    <w:rsid w:val="00D43C35"/>
    <w:rsid w:val="00D44A31"/>
    <w:rsid w:val="00D46F6A"/>
    <w:rsid w:val="00D474CF"/>
    <w:rsid w:val="00D51622"/>
    <w:rsid w:val="00D5547E"/>
    <w:rsid w:val="00D624B5"/>
    <w:rsid w:val="00D869A1"/>
    <w:rsid w:val="00D90B4E"/>
    <w:rsid w:val="00D943CF"/>
    <w:rsid w:val="00D95844"/>
    <w:rsid w:val="00DA413F"/>
    <w:rsid w:val="00DA4584"/>
    <w:rsid w:val="00DA614B"/>
    <w:rsid w:val="00DB755B"/>
    <w:rsid w:val="00DC21DE"/>
    <w:rsid w:val="00DC3060"/>
    <w:rsid w:val="00DD45B2"/>
    <w:rsid w:val="00DE0FB2"/>
    <w:rsid w:val="00DE3A54"/>
    <w:rsid w:val="00DF093E"/>
    <w:rsid w:val="00DF391F"/>
    <w:rsid w:val="00E000FB"/>
    <w:rsid w:val="00E007F9"/>
    <w:rsid w:val="00E01508"/>
    <w:rsid w:val="00E01F42"/>
    <w:rsid w:val="00E03365"/>
    <w:rsid w:val="00E206D6"/>
    <w:rsid w:val="00E23BA8"/>
    <w:rsid w:val="00E3366E"/>
    <w:rsid w:val="00E455B8"/>
    <w:rsid w:val="00E52086"/>
    <w:rsid w:val="00E543A6"/>
    <w:rsid w:val="00E60130"/>
    <w:rsid w:val="00E60479"/>
    <w:rsid w:val="00E61D73"/>
    <w:rsid w:val="00E62A91"/>
    <w:rsid w:val="00E719F0"/>
    <w:rsid w:val="00E73684"/>
    <w:rsid w:val="00E8127C"/>
    <w:rsid w:val="00E818D6"/>
    <w:rsid w:val="00E87F7A"/>
    <w:rsid w:val="00E96BD7"/>
    <w:rsid w:val="00EA0DB1"/>
    <w:rsid w:val="00EA0EE9"/>
    <w:rsid w:val="00EB0186"/>
    <w:rsid w:val="00EB3B07"/>
    <w:rsid w:val="00EC3DC0"/>
    <w:rsid w:val="00ED52CA"/>
    <w:rsid w:val="00ED5860"/>
    <w:rsid w:val="00EE35C9"/>
    <w:rsid w:val="00EE4DD6"/>
    <w:rsid w:val="00EE75F4"/>
    <w:rsid w:val="00EF16D8"/>
    <w:rsid w:val="00EF17A7"/>
    <w:rsid w:val="00F05ECA"/>
    <w:rsid w:val="00F07021"/>
    <w:rsid w:val="00F0707C"/>
    <w:rsid w:val="00F12609"/>
    <w:rsid w:val="00F24381"/>
    <w:rsid w:val="00F3566E"/>
    <w:rsid w:val="00F375FB"/>
    <w:rsid w:val="00F41AC1"/>
    <w:rsid w:val="00F4367A"/>
    <w:rsid w:val="00F44556"/>
    <w:rsid w:val="00F445B1"/>
    <w:rsid w:val="00F45CD4"/>
    <w:rsid w:val="00F503A7"/>
    <w:rsid w:val="00F54A44"/>
    <w:rsid w:val="00F56984"/>
    <w:rsid w:val="00F56EAE"/>
    <w:rsid w:val="00F66DCA"/>
    <w:rsid w:val="00F7299E"/>
    <w:rsid w:val="00F74F53"/>
    <w:rsid w:val="00F7606D"/>
    <w:rsid w:val="00F77B52"/>
    <w:rsid w:val="00F80543"/>
    <w:rsid w:val="00F81670"/>
    <w:rsid w:val="00F82024"/>
    <w:rsid w:val="00F82A99"/>
    <w:rsid w:val="00F908D3"/>
    <w:rsid w:val="00F95BC9"/>
    <w:rsid w:val="00FA624C"/>
    <w:rsid w:val="00FD0FAC"/>
    <w:rsid w:val="00FD1DFA"/>
    <w:rsid w:val="00FD350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EB01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basedOn w:val="DefaultParagraphFont"/>
    <w:rsid w:val="00EF16D8"/>
    <w:rPr>
      <w:color w:val="800080" w:themeColor="followedHyperlink"/>
      <w:u w:val="single"/>
    </w:rPr>
  </w:style>
  <w:style w:type="character" w:styleId="Strong">
    <w:name w:val="Strong"/>
    <w:basedOn w:val="DefaultParagraphFont"/>
    <w:uiPriority w:val="22"/>
    <w:qFormat/>
    <w:rsid w:val="00E015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EB01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basedOn w:val="DefaultParagraphFont"/>
    <w:rsid w:val="00EF16D8"/>
    <w:rPr>
      <w:color w:val="800080" w:themeColor="followedHyperlink"/>
      <w:u w:val="single"/>
    </w:rPr>
  </w:style>
  <w:style w:type="character" w:styleId="Strong">
    <w:name w:val="Strong"/>
    <w:basedOn w:val="DefaultParagraphFont"/>
    <w:uiPriority w:val="22"/>
    <w:qFormat/>
    <w:rsid w:val="00E01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3661489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280227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xford.gov.uk/downloads/download/254/homelessness_strateg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s/file/912/tenancy_strategy_and_policy_statement_201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evans@oxford.gov.uk" TargetMode="External"/><Relationship Id="rId4" Type="http://schemas.microsoft.com/office/2007/relationships/stylesWithEffects" Target="stylesWithEffects.xml"/><Relationship Id="rId9" Type="http://schemas.openxmlformats.org/officeDocument/2006/relationships/hyperlink" Target="http://www.oxford.gov.uk/tenancystrategysurve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462F-C8AF-4E65-8ED1-7F2165DF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A90EAB23</Template>
  <TotalTime>19</TotalTime>
  <Pages>5</Pages>
  <Words>1714</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11615</CharactersWithSpaces>
  <SharedDoc>false</SharedDoc>
  <HLinks>
    <vt:vector size="6" baseType="variant">
      <vt:variant>
        <vt:i4>4915241</vt:i4>
      </vt:variant>
      <vt:variant>
        <vt:i4>0</vt:i4>
      </vt:variant>
      <vt:variant>
        <vt:i4>0</vt:i4>
      </vt:variant>
      <vt:variant>
        <vt:i4>5</vt:i4>
      </vt:variant>
      <vt:variant>
        <vt:lpwstr>mailto:fevans@oxford.gov.uk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Frances.Evans</dc:creator>
  <cp:lastModifiedBy>JMitchell</cp:lastModifiedBy>
  <cp:revision>7</cp:revision>
  <cp:lastPrinted>2017-07-27T15:52:00Z</cp:lastPrinted>
  <dcterms:created xsi:type="dcterms:W3CDTF">2018-05-11T14:23:00Z</dcterms:created>
  <dcterms:modified xsi:type="dcterms:W3CDTF">2018-06-04T11:20:00Z</dcterms:modified>
</cp:coreProperties>
</file>